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ACF" w:rsidRPr="0036713E" w:rsidRDefault="005A3ACF" w:rsidP="00AB6C48">
      <w:pPr>
        <w:ind w:left="5664" w:firstLine="708"/>
        <w:rPr>
          <w:sz w:val="20"/>
          <w:szCs w:val="20"/>
        </w:rPr>
      </w:pPr>
      <w:r w:rsidRPr="0036713E">
        <w:rPr>
          <w:sz w:val="20"/>
          <w:szCs w:val="20"/>
        </w:rPr>
        <w:t>Załącznik Nr 1</w:t>
      </w:r>
    </w:p>
    <w:p w:rsidR="005A3ACF" w:rsidRPr="0036713E" w:rsidRDefault="005A3ACF" w:rsidP="005A3ACF">
      <w:pPr>
        <w:ind w:left="6372"/>
        <w:rPr>
          <w:sz w:val="20"/>
          <w:szCs w:val="20"/>
        </w:rPr>
      </w:pPr>
      <w:r w:rsidRPr="0036713E">
        <w:rPr>
          <w:sz w:val="20"/>
          <w:szCs w:val="20"/>
        </w:rPr>
        <w:t>do Uchwały Nr</w:t>
      </w:r>
      <w:r w:rsidR="000E22AC">
        <w:rPr>
          <w:sz w:val="20"/>
          <w:szCs w:val="20"/>
        </w:rPr>
        <w:t xml:space="preserve"> 71</w:t>
      </w:r>
      <w:r w:rsidRPr="0036713E">
        <w:rPr>
          <w:sz w:val="20"/>
          <w:szCs w:val="20"/>
        </w:rPr>
        <w:t>/201</w:t>
      </w:r>
      <w:r w:rsidR="0002522E" w:rsidRPr="0036713E">
        <w:rPr>
          <w:sz w:val="20"/>
          <w:szCs w:val="20"/>
        </w:rPr>
        <w:t>4</w:t>
      </w:r>
    </w:p>
    <w:p w:rsidR="005A3ACF" w:rsidRPr="0036713E" w:rsidRDefault="005A3ACF" w:rsidP="005A3ACF">
      <w:pPr>
        <w:ind w:left="6372"/>
        <w:rPr>
          <w:sz w:val="20"/>
          <w:szCs w:val="20"/>
        </w:rPr>
      </w:pPr>
      <w:r w:rsidRPr="0036713E">
        <w:rPr>
          <w:sz w:val="20"/>
          <w:szCs w:val="20"/>
        </w:rPr>
        <w:t>z dnia 2</w:t>
      </w:r>
      <w:r w:rsidR="0002522E" w:rsidRPr="0036713E">
        <w:rPr>
          <w:sz w:val="20"/>
          <w:szCs w:val="20"/>
        </w:rPr>
        <w:t>8</w:t>
      </w:r>
      <w:r w:rsidRPr="0036713E">
        <w:rPr>
          <w:sz w:val="20"/>
          <w:szCs w:val="20"/>
        </w:rPr>
        <w:t xml:space="preserve"> maja 201</w:t>
      </w:r>
      <w:r w:rsidR="0002522E" w:rsidRPr="0036713E">
        <w:rPr>
          <w:sz w:val="20"/>
          <w:szCs w:val="20"/>
        </w:rPr>
        <w:t>4</w:t>
      </w:r>
      <w:r w:rsidRPr="0036713E">
        <w:rPr>
          <w:sz w:val="20"/>
          <w:szCs w:val="20"/>
        </w:rPr>
        <w:t xml:space="preserve"> r.</w:t>
      </w:r>
    </w:p>
    <w:p w:rsidR="00C441B9" w:rsidRDefault="00C441B9" w:rsidP="005A3ACF">
      <w:pPr>
        <w:ind w:left="6372"/>
        <w:rPr>
          <w:sz w:val="18"/>
          <w:szCs w:val="18"/>
        </w:rPr>
      </w:pPr>
    </w:p>
    <w:p w:rsidR="005A3ACF" w:rsidRDefault="005A3ACF" w:rsidP="005A3ACF">
      <w:pPr>
        <w:ind w:left="6372"/>
        <w:rPr>
          <w:sz w:val="20"/>
          <w:szCs w:val="20"/>
        </w:rPr>
      </w:pPr>
    </w:p>
    <w:p w:rsidR="005A3ACF" w:rsidRPr="00F0159F" w:rsidRDefault="005A3ACF" w:rsidP="005A3ACF">
      <w:pPr>
        <w:jc w:val="center"/>
        <w:rPr>
          <w:b/>
          <w:sz w:val="28"/>
          <w:szCs w:val="28"/>
        </w:rPr>
      </w:pPr>
      <w:r w:rsidRPr="00F0159F">
        <w:rPr>
          <w:b/>
          <w:sz w:val="28"/>
          <w:szCs w:val="28"/>
        </w:rPr>
        <w:t xml:space="preserve">Warunki i tryb rekrutacji oraz formy studiów </w:t>
      </w:r>
      <w:r w:rsidR="0002522E">
        <w:rPr>
          <w:b/>
          <w:sz w:val="28"/>
          <w:szCs w:val="28"/>
        </w:rPr>
        <w:br/>
      </w:r>
      <w:r w:rsidRPr="00F0159F">
        <w:rPr>
          <w:b/>
          <w:sz w:val="28"/>
          <w:szCs w:val="28"/>
        </w:rPr>
        <w:t xml:space="preserve">na poszczególnych kierunkach </w:t>
      </w:r>
      <w:r>
        <w:rPr>
          <w:b/>
          <w:sz w:val="28"/>
          <w:szCs w:val="28"/>
        </w:rPr>
        <w:br/>
      </w:r>
      <w:r w:rsidRPr="00F0159F">
        <w:rPr>
          <w:b/>
          <w:sz w:val="28"/>
          <w:szCs w:val="28"/>
        </w:rPr>
        <w:t>w Śląskim Uniwersytecie Medycznym w Katowicach</w:t>
      </w:r>
    </w:p>
    <w:p w:rsidR="005A3ACF" w:rsidRDefault="005A3ACF" w:rsidP="005A3ACF">
      <w:pPr>
        <w:jc w:val="center"/>
        <w:rPr>
          <w:b/>
          <w:sz w:val="28"/>
          <w:szCs w:val="28"/>
        </w:rPr>
      </w:pPr>
      <w:r w:rsidRPr="00F0159F">
        <w:rPr>
          <w:b/>
          <w:sz w:val="28"/>
          <w:szCs w:val="28"/>
        </w:rPr>
        <w:t xml:space="preserve">w roku akademickim </w:t>
      </w:r>
      <w:r w:rsidRPr="00D025E0">
        <w:rPr>
          <w:b/>
          <w:sz w:val="28"/>
          <w:szCs w:val="28"/>
        </w:rPr>
        <w:t>201</w:t>
      </w:r>
      <w:r w:rsidR="0002522E">
        <w:rPr>
          <w:b/>
          <w:sz w:val="28"/>
          <w:szCs w:val="28"/>
        </w:rPr>
        <w:t>5</w:t>
      </w:r>
      <w:r w:rsidRPr="00D025E0">
        <w:rPr>
          <w:b/>
          <w:sz w:val="28"/>
          <w:szCs w:val="28"/>
        </w:rPr>
        <w:t>/201</w:t>
      </w:r>
      <w:r w:rsidR="0002522E">
        <w:rPr>
          <w:b/>
          <w:sz w:val="28"/>
          <w:szCs w:val="28"/>
        </w:rPr>
        <w:t>6</w:t>
      </w:r>
    </w:p>
    <w:p w:rsidR="0002522E" w:rsidRPr="00F0159F" w:rsidRDefault="0002522E" w:rsidP="005A3ACF">
      <w:pPr>
        <w:jc w:val="center"/>
        <w:rPr>
          <w:b/>
          <w:sz w:val="28"/>
          <w:szCs w:val="28"/>
        </w:rPr>
      </w:pPr>
    </w:p>
    <w:p w:rsidR="005A3ACF" w:rsidRDefault="005A3ACF" w:rsidP="005A3ACF">
      <w:pPr>
        <w:jc w:val="center"/>
        <w:rPr>
          <w:i/>
        </w:rPr>
      </w:pPr>
    </w:p>
    <w:p w:rsidR="005A3ACF" w:rsidRDefault="005A3ACF" w:rsidP="005A3ACF">
      <w:pPr>
        <w:rPr>
          <w:b/>
          <w:sz w:val="28"/>
          <w:szCs w:val="28"/>
        </w:rPr>
      </w:pPr>
      <w:r>
        <w:rPr>
          <w:b/>
          <w:sz w:val="28"/>
          <w:szCs w:val="28"/>
        </w:rPr>
        <w:t>I. Postanowienia ogólne</w:t>
      </w:r>
    </w:p>
    <w:p w:rsidR="005A3ACF" w:rsidRDefault="005A3ACF" w:rsidP="005A3ACF">
      <w:pPr>
        <w:jc w:val="center"/>
        <w:rPr>
          <w:b/>
        </w:rPr>
      </w:pPr>
      <w:r>
        <w:rPr>
          <w:b/>
        </w:rPr>
        <w:t>§ 1</w:t>
      </w:r>
    </w:p>
    <w:p w:rsidR="005A3ACF" w:rsidRDefault="005A3ACF" w:rsidP="005A3ACF">
      <w:pPr>
        <w:jc w:val="center"/>
      </w:pPr>
    </w:p>
    <w:p w:rsidR="005A3ACF" w:rsidRPr="005B0BB3" w:rsidRDefault="005A3ACF" w:rsidP="005A3ACF">
      <w:r w:rsidRPr="005B0BB3">
        <w:t>Śląski Uniwersytet Medyczny w Katowicach przeprowadza rekrutację na pierwszy rok:</w:t>
      </w:r>
    </w:p>
    <w:p w:rsidR="005A3ACF" w:rsidRPr="005B0BB3" w:rsidRDefault="005A3ACF" w:rsidP="005A3ACF"/>
    <w:p w:rsidR="005A3ACF" w:rsidRPr="005B0BB3" w:rsidRDefault="005A3ACF" w:rsidP="005A3ACF">
      <w:pPr>
        <w:pStyle w:val="Akapitzlist1"/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0BB3">
        <w:rPr>
          <w:rFonts w:ascii="Times New Roman" w:hAnsi="Times New Roman"/>
          <w:b/>
          <w:sz w:val="24"/>
          <w:szCs w:val="24"/>
        </w:rPr>
        <w:t>STUDIÓW STACJONARNYCH:</w:t>
      </w:r>
    </w:p>
    <w:p w:rsidR="005A3ACF" w:rsidRPr="005B0BB3" w:rsidRDefault="005A3ACF" w:rsidP="005A3ACF"/>
    <w:p w:rsidR="005A3ACF" w:rsidRPr="005B0BB3" w:rsidRDefault="005A3ACF" w:rsidP="005A3ACF">
      <w:pPr>
        <w:pStyle w:val="Akapitzlist1"/>
        <w:numPr>
          <w:ilvl w:val="0"/>
          <w:numId w:val="12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B0BB3">
        <w:rPr>
          <w:rFonts w:ascii="Times New Roman" w:hAnsi="Times New Roman"/>
          <w:b/>
          <w:sz w:val="24"/>
          <w:szCs w:val="24"/>
        </w:rPr>
        <w:t xml:space="preserve">jednolitych magisterskich </w:t>
      </w:r>
      <w:r w:rsidRPr="005B0BB3">
        <w:rPr>
          <w:rFonts w:ascii="Times New Roman" w:hAnsi="Times New Roman"/>
          <w:sz w:val="24"/>
          <w:szCs w:val="24"/>
        </w:rPr>
        <w:t>na kierunkach:</w:t>
      </w:r>
    </w:p>
    <w:p w:rsidR="005A3ACF" w:rsidRPr="005B0BB3" w:rsidRDefault="005A3ACF" w:rsidP="005A3ACF">
      <w:pPr>
        <w:pStyle w:val="Akapitzlist1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0"/>
          <w:numId w:val="23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analityka medyczna,</w:t>
      </w:r>
    </w:p>
    <w:p w:rsidR="005A3ACF" w:rsidRPr="00632D99" w:rsidRDefault="005A3ACF" w:rsidP="005A3ACF">
      <w:pPr>
        <w:pStyle w:val="Akapitzlist1"/>
        <w:numPr>
          <w:ilvl w:val="0"/>
          <w:numId w:val="23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farmacja,</w:t>
      </w:r>
    </w:p>
    <w:p w:rsidR="005A3ACF" w:rsidRPr="00632D99" w:rsidRDefault="005A3ACF" w:rsidP="005A3ACF">
      <w:pPr>
        <w:pStyle w:val="Akapitzlist1"/>
        <w:numPr>
          <w:ilvl w:val="0"/>
          <w:numId w:val="23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lekarski,</w:t>
      </w:r>
    </w:p>
    <w:p w:rsidR="005A3ACF" w:rsidRPr="00632D99" w:rsidRDefault="005A3ACF" w:rsidP="005A3ACF">
      <w:pPr>
        <w:pStyle w:val="Akapitzlist1"/>
        <w:numPr>
          <w:ilvl w:val="0"/>
          <w:numId w:val="23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lekarsko-dentystyczny.</w:t>
      </w:r>
    </w:p>
    <w:p w:rsidR="005A3ACF" w:rsidRPr="00632D99" w:rsidRDefault="005A3ACF" w:rsidP="005A3ACF"/>
    <w:p w:rsidR="005A3ACF" w:rsidRPr="00632D99" w:rsidRDefault="005A3ACF" w:rsidP="005A3ACF">
      <w:pPr>
        <w:pStyle w:val="Akapitzlist1"/>
        <w:numPr>
          <w:ilvl w:val="0"/>
          <w:numId w:val="1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b/>
          <w:sz w:val="24"/>
          <w:szCs w:val="24"/>
        </w:rPr>
        <w:t xml:space="preserve">pierwszego stopnia </w:t>
      </w:r>
      <w:r w:rsidRPr="00632D99">
        <w:rPr>
          <w:rFonts w:ascii="Times New Roman" w:hAnsi="Times New Roman"/>
          <w:sz w:val="24"/>
          <w:szCs w:val="24"/>
        </w:rPr>
        <w:t>(licencjackich)</w:t>
      </w:r>
      <w:r w:rsidRPr="00632D99">
        <w:rPr>
          <w:rFonts w:ascii="Times New Roman" w:hAnsi="Times New Roman"/>
          <w:b/>
          <w:sz w:val="24"/>
          <w:szCs w:val="24"/>
        </w:rPr>
        <w:t xml:space="preserve"> </w:t>
      </w:r>
      <w:r w:rsidRPr="00632D99">
        <w:rPr>
          <w:rFonts w:ascii="Times New Roman" w:hAnsi="Times New Roman"/>
          <w:sz w:val="24"/>
          <w:szCs w:val="24"/>
        </w:rPr>
        <w:t>na kierunkach:</w:t>
      </w:r>
    </w:p>
    <w:p w:rsidR="005A3ACF" w:rsidRPr="00632D99" w:rsidRDefault="005A3ACF" w:rsidP="005A3ACF">
      <w:pPr>
        <w:pStyle w:val="Akapitzlist1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0"/>
          <w:numId w:val="22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biotechnologia medyczna,</w:t>
      </w:r>
    </w:p>
    <w:p w:rsidR="005A3ACF" w:rsidRPr="00632D99" w:rsidRDefault="005A3ACF" w:rsidP="005A3ACF">
      <w:pPr>
        <w:pStyle w:val="Akapitzlist1"/>
        <w:numPr>
          <w:ilvl w:val="0"/>
          <w:numId w:val="22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dietetyka,</w:t>
      </w:r>
    </w:p>
    <w:p w:rsidR="005A3ACF" w:rsidRPr="00632D99" w:rsidRDefault="005A3ACF" w:rsidP="005A3ACF">
      <w:pPr>
        <w:pStyle w:val="Akapitzlist1"/>
        <w:numPr>
          <w:ilvl w:val="0"/>
          <w:numId w:val="22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fizjoterapia,</w:t>
      </w:r>
    </w:p>
    <w:p w:rsidR="005A3ACF" w:rsidRPr="00632D99" w:rsidRDefault="005A3ACF" w:rsidP="005A3ACF">
      <w:pPr>
        <w:pStyle w:val="Akapitzlist1"/>
        <w:numPr>
          <w:ilvl w:val="0"/>
          <w:numId w:val="22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kosmetologia,</w:t>
      </w:r>
    </w:p>
    <w:p w:rsidR="005A3ACF" w:rsidRPr="00632D99" w:rsidRDefault="005A3ACF" w:rsidP="005A3ACF">
      <w:pPr>
        <w:pStyle w:val="Akapitzlist1"/>
        <w:numPr>
          <w:ilvl w:val="0"/>
          <w:numId w:val="22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pielęgniarstwo,</w:t>
      </w:r>
    </w:p>
    <w:p w:rsidR="005A3ACF" w:rsidRPr="00632D99" w:rsidRDefault="005A3ACF" w:rsidP="005A3ACF">
      <w:pPr>
        <w:pStyle w:val="Akapitzlist1"/>
        <w:numPr>
          <w:ilvl w:val="0"/>
          <w:numId w:val="22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położnictwo,</w:t>
      </w:r>
    </w:p>
    <w:p w:rsidR="005A3ACF" w:rsidRPr="00632D99" w:rsidRDefault="005A3ACF" w:rsidP="005A3ACF">
      <w:pPr>
        <w:pStyle w:val="Akapitzlist1"/>
        <w:numPr>
          <w:ilvl w:val="0"/>
          <w:numId w:val="22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ratownictwo medyczne,</w:t>
      </w:r>
    </w:p>
    <w:p w:rsidR="005A3ACF" w:rsidRPr="00632D99" w:rsidRDefault="003F1BDD" w:rsidP="005A3ACF">
      <w:pPr>
        <w:pStyle w:val="Akapitzlist1"/>
        <w:numPr>
          <w:ilvl w:val="0"/>
          <w:numId w:val="22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zdrowie publiczne,</w:t>
      </w:r>
    </w:p>
    <w:p w:rsidR="003F1BDD" w:rsidRPr="00632D99" w:rsidRDefault="003F1BDD" w:rsidP="005A3ACF">
      <w:pPr>
        <w:pStyle w:val="Akapitzlist1"/>
        <w:numPr>
          <w:ilvl w:val="0"/>
          <w:numId w:val="22"/>
        </w:numPr>
        <w:tabs>
          <w:tab w:val="clear" w:pos="1713"/>
          <w:tab w:val="num" w:pos="144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elektroradiologia.</w:t>
      </w:r>
    </w:p>
    <w:p w:rsidR="005A3ACF" w:rsidRPr="00632D99" w:rsidRDefault="005A3ACF" w:rsidP="005A3ACF"/>
    <w:p w:rsidR="005A3ACF" w:rsidRPr="00632D99" w:rsidRDefault="005A3ACF" w:rsidP="005A3ACF">
      <w:pPr>
        <w:pStyle w:val="Akapitzlist1"/>
        <w:numPr>
          <w:ilvl w:val="0"/>
          <w:numId w:val="12"/>
        </w:numPr>
        <w:spacing w:after="0" w:line="240" w:lineRule="auto"/>
        <w:ind w:left="1066" w:hanging="357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b/>
          <w:sz w:val="24"/>
          <w:szCs w:val="24"/>
        </w:rPr>
        <w:t>drugiego stopnia</w:t>
      </w:r>
      <w:r w:rsidRPr="00632D99">
        <w:rPr>
          <w:rFonts w:ascii="Times New Roman" w:hAnsi="Times New Roman"/>
          <w:sz w:val="24"/>
          <w:szCs w:val="24"/>
        </w:rPr>
        <w:t xml:space="preserve"> (magisterskich uzupełniających) na kierunkach:</w:t>
      </w:r>
    </w:p>
    <w:p w:rsidR="005A3ACF" w:rsidRPr="00632D99" w:rsidRDefault="005A3ACF" w:rsidP="005A3ACF">
      <w:pPr>
        <w:pStyle w:val="Akapitzlist1"/>
        <w:spacing w:after="0" w:line="240" w:lineRule="auto"/>
        <w:ind w:left="1066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1"/>
          <w:numId w:val="1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biotechnologia medyczna,</w:t>
      </w:r>
    </w:p>
    <w:p w:rsidR="005A3ACF" w:rsidRPr="00632D99" w:rsidRDefault="005A3ACF" w:rsidP="005A3ACF">
      <w:pPr>
        <w:pStyle w:val="Akapitzlist1"/>
        <w:numPr>
          <w:ilvl w:val="1"/>
          <w:numId w:val="1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dietetyka,</w:t>
      </w:r>
    </w:p>
    <w:p w:rsidR="005A3ACF" w:rsidRPr="00632D99" w:rsidRDefault="005A3ACF" w:rsidP="005A3ACF">
      <w:pPr>
        <w:pStyle w:val="Akapitzlist1"/>
        <w:numPr>
          <w:ilvl w:val="1"/>
          <w:numId w:val="1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fizjoterapia,</w:t>
      </w:r>
    </w:p>
    <w:p w:rsidR="005A3ACF" w:rsidRPr="00632D99" w:rsidRDefault="005A3ACF" w:rsidP="005A3ACF">
      <w:pPr>
        <w:pStyle w:val="Akapitzlist1"/>
        <w:numPr>
          <w:ilvl w:val="1"/>
          <w:numId w:val="1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lastRenderedPageBreak/>
        <w:t>kosmetologia,</w:t>
      </w:r>
    </w:p>
    <w:p w:rsidR="005A3ACF" w:rsidRPr="00632D99" w:rsidRDefault="005A3ACF" w:rsidP="005A3ACF">
      <w:pPr>
        <w:pStyle w:val="Akapitzlist1"/>
        <w:numPr>
          <w:ilvl w:val="1"/>
          <w:numId w:val="1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neurobiologia.</w:t>
      </w:r>
    </w:p>
    <w:p w:rsidR="005A3ACF" w:rsidRPr="00632D99" w:rsidRDefault="005A3ACF" w:rsidP="005A3ACF">
      <w:pPr>
        <w:pStyle w:val="Akapitzlist1"/>
        <w:numPr>
          <w:ilvl w:val="1"/>
          <w:numId w:val="1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pielęgniarstwo,</w:t>
      </w:r>
    </w:p>
    <w:p w:rsidR="005A3ACF" w:rsidRPr="00632D99" w:rsidRDefault="005A3ACF" w:rsidP="005A3ACF">
      <w:pPr>
        <w:pStyle w:val="Akapitzlist1"/>
        <w:numPr>
          <w:ilvl w:val="1"/>
          <w:numId w:val="1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położnictwo,</w:t>
      </w:r>
    </w:p>
    <w:p w:rsidR="005A3ACF" w:rsidRPr="00632D99" w:rsidRDefault="005A3ACF" w:rsidP="005A3ACF">
      <w:pPr>
        <w:pStyle w:val="Akapitzlist1"/>
        <w:numPr>
          <w:ilvl w:val="1"/>
          <w:numId w:val="1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zdrowie publiczne,</w:t>
      </w:r>
    </w:p>
    <w:p w:rsidR="003F1BDD" w:rsidRPr="00632D99" w:rsidRDefault="003F1BDD" w:rsidP="005A3ACF">
      <w:pPr>
        <w:pStyle w:val="Akapitzlist1"/>
        <w:numPr>
          <w:ilvl w:val="1"/>
          <w:numId w:val="12"/>
        </w:numPr>
        <w:tabs>
          <w:tab w:val="clear" w:pos="1789"/>
          <w:tab w:val="num" w:pos="1440"/>
        </w:tabs>
        <w:spacing w:after="0" w:line="360" w:lineRule="auto"/>
        <w:ind w:left="144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coaching medyczny.</w:t>
      </w:r>
    </w:p>
    <w:p w:rsidR="005A3ACF" w:rsidRPr="00632D99" w:rsidRDefault="005A3ACF" w:rsidP="005A3ACF"/>
    <w:p w:rsidR="005A3ACF" w:rsidRPr="00632D99" w:rsidRDefault="005A3ACF" w:rsidP="005A3ACF">
      <w:pPr>
        <w:ind w:firstLine="426"/>
      </w:pPr>
      <w:r w:rsidRPr="00632D99">
        <w:rPr>
          <w:b/>
        </w:rPr>
        <w:t>2)</w:t>
      </w:r>
      <w:r w:rsidRPr="00632D99">
        <w:rPr>
          <w:b/>
        </w:rPr>
        <w:tab/>
        <w:t>STUDIÓW NIESTACJONARNYCH</w:t>
      </w:r>
      <w:r w:rsidRPr="00632D99">
        <w:t>:</w:t>
      </w:r>
    </w:p>
    <w:p w:rsidR="005A3ACF" w:rsidRPr="00632D99" w:rsidRDefault="005A3ACF" w:rsidP="005A3ACF"/>
    <w:p w:rsidR="005A3ACF" w:rsidRPr="00632D99" w:rsidRDefault="005A3ACF" w:rsidP="005A3ACF">
      <w:pPr>
        <w:pStyle w:val="Akapitzlist1"/>
        <w:numPr>
          <w:ilvl w:val="0"/>
          <w:numId w:val="13"/>
        </w:numPr>
        <w:spacing w:after="0" w:line="240" w:lineRule="auto"/>
        <w:ind w:left="1066" w:hanging="357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b/>
          <w:sz w:val="24"/>
          <w:szCs w:val="24"/>
        </w:rPr>
        <w:t>jednolitych magisterskich</w:t>
      </w:r>
      <w:r w:rsidRPr="00632D99">
        <w:rPr>
          <w:rFonts w:ascii="Times New Roman" w:hAnsi="Times New Roman"/>
          <w:sz w:val="24"/>
          <w:szCs w:val="24"/>
        </w:rPr>
        <w:t xml:space="preserve"> na kierunkach:</w:t>
      </w:r>
    </w:p>
    <w:p w:rsidR="005A3ACF" w:rsidRPr="00632D99" w:rsidRDefault="005A3ACF" w:rsidP="005A3ACF">
      <w:pPr>
        <w:pStyle w:val="Akapitzlist1"/>
        <w:spacing w:after="0" w:line="240" w:lineRule="auto"/>
        <w:ind w:left="1066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1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farmacja,</w:t>
      </w:r>
    </w:p>
    <w:p w:rsidR="005A3ACF" w:rsidRPr="00632D99" w:rsidRDefault="005A3ACF" w:rsidP="005A3ACF">
      <w:pPr>
        <w:pStyle w:val="Akapitzlist1"/>
        <w:numPr>
          <w:ilvl w:val="1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lekarski,</w:t>
      </w:r>
    </w:p>
    <w:p w:rsidR="005A3ACF" w:rsidRPr="00632D99" w:rsidRDefault="005A3ACF" w:rsidP="005A3ACF">
      <w:pPr>
        <w:pStyle w:val="Akapitzlist1"/>
        <w:numPr>
          <w:ilvl w:val="1"/>
          <w:numId w:val="13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lekarsko-dentystyczny.</w:t>
      </w:r>
    </w:p>
    <w:p w:rsidR="005A3ACF" w:rsidRPr="00632D99" w:rsidRDefault="005A3ACF" w:rsidP="005A3ACF">
      <w:pPr>
        <w:pStyle w:val="Tekstpodstawowy"/>
        <w:ind w:left="1069"/>
      </w:pPr>
      <w:r w:rsidRPr="00632D99">
        <w:t xml:space="preserve"> </w:t>
      </w:r>
    </w:p>
    <w:p w:rsidR="005A3ACF" w:rsidRPr="00632D99" w:rsidRDefault="005A3ACF" w:rsidP="005A3ACF">
      <w:pPr>
        <w:pStyle w:val="Akapitzlist1"/>
        <w:numPr>
          <w:ilvl w:val="0"/>
          <w:numId w:val="13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b/>
          <w:sz w:val="24"/>
          <w:szCs w:val="24"/>
        </w:rPr>
        <w:t>pierwszego stopnia</w:t>
      </w:r>
      <w:r w:rsidRPr="00632D99">
        <w:rPr>
          <w:rFonts w:ascii="Times New Roman" w:hAnsi="Times New Roman"/>
          <w:sz w:val="24"/>
          <w:szCs w:val="24"/>
        </w:rPr>
        <w:t xml:space="preserve"> (licencjackich) na kierunkach:</w:t>
      </w:r>
    </w:p>
    <w:p w:rsidR="005A3ACF" w:rsidRPr="00632D99" w:rsidRDefault="005A3ACF" w:rsidP="005A3ACF">
      <w:pPr>
        <w:pStyle w:val="Akapitzlist1"/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0"/>
          <w:numId w:val="21"/>
        </w:numPr>
        <w:spacing w:after="0" w:line="360" w:lineRule="auto"/>
        <w:ind w:left="993" w:firstLine="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dietetyka,</w:t>
      </w:r>
    </w:p>
    <w:p w:rsidR="005A3ACF" w:rsidRPr="00632D99" w:rsidRDefault="005A3ACF" w:rsidP="005A3ACF">
      <w:pPr>
        <w:pStyle w:val="Akapitzlist1"/>
        <w:numPr>
          <w:ilvl w:val="0"/>
          <w:numId w:val="21"/>
        </w:numPr>
        <w:spacing w:after="0" w:line="360" w:lineRule="auto"/>
        <w:ind w:left="993" w:firstLine="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kosmetologia,</w:t>
      </w:r>
    </w:p>
    <w:p w:rsidR="005A3ACF" w:rsidRPr="00632D99" w:rsidRDefault="003F1BDD" w:rsidP="005A3ACF">
      <w:pPr>
        <w:pStyle w:val="Akapitzlist1"/>
        <w:numPr>
          <w:ilvl w:val="0"/>
          <w:numId w:val="21"/>
        </w:numPr>
        <w:spacing w:after="0" w:line="360" w:lineRule="auto"/>
        <w:ind w:left="993" w:firstLine="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zdrowie publiczne,</w:t>
      </w:r>
    </w:p>
    <w:p w:rsidR="003F1BDD" w:rsidRPr="00632D99" w:rsidRDefault="003F1BDD" w:rsidP="005A3ACF">
      <w:pPr>
        <w:pStyle w:val="Akapitzlist1"/>
        <w:numPr>
          <w:ilvl w:val="0"/>
          <w:numId w:val="21"/>
        </w:numPr>
        <w:spacing w:after="0" w:line="360" w:lineRule="auto"/>
        <w:ind w:left="993" w:firstLine="0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fizjoterapia.</w:t>
      </w:r>
    </w:p>
    <w:p w:rsidR="005A3ACF" w:rsidRPr="00632D99" w:rsidRDefault="005A3ACF" w:rsidP="005A3ACF">
      <w:pPr>
        <w:ind w:left="993" w:hanging="284"/>
      </w:pPr>
    </w:p>
    <w:p w:rsidR="005A3ACF" w:rsidRPr="00632D99" w:rsidRDefault="005A3ACF" w:rsidP="005A3ACF">
      <w:pPr>
        <w:pStyle w:val="Akapitzlist1"/>
        <w:numPr>
          <w:ilvl w:val="0"/>
          <w:numId w:val="13"/>
        </w:numPr>
        <w:spacing w:after="0" w:line="240" w:lineRule="auto"/>
        <w:ind w:left="993" w:hanging="284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b/>
          <w:sz w:val="24"/>
          <w:szCs w:val="24"/>
        </w:rPr>
        <w:t>drugiego stopnia</w:t>
      </w:r>
      <w:r w:rsidRPr="00632D99">
        <w:rPr>
          <w:rFonts w:ascii="Times New Roman" w:hAnsi="Times New Roman"/>
          <w:sz w:val="24"/>
          <w:szCs w:val="24"/>
        </w:rPr>
        <w:t xml:space="preserve"> (magisterskich uzupełniających) na kierunkach:</w:t>
      </w:r>
    </w:p>
    <w:p w:rsidR="005A3ACF" w:rsidRPr="00632D99" w:rsidRDefault="005A3ACF" w:rsidP="005A3ACF">
      <w:pPr>
        <w:pStyle w:val="Akapitzlist1"/>
        <w:spacing w:after="0" w:line="240" w:lineRule="auto"/>
        <w:ind w:left="1069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dietetyka,</w:t>
      </w:r>
    </w:p>
    <w:p w:rsidR="005A3ACF" w:rsidRPr="00632D99" w:rsidRDefault="005A3ACF" w:rsidP="005A3ACF">
      <w:pPr>
        <w:pStyle w:val="Akapitzlist1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fizjoterapia,</w:t>
      </w:r>
    </w:p>
    <w:p w:rsidR="005A3ACF" w:rsidRPr="00632D99" w:rsidRDefault="005A3ACF" w:rsidP="005A3ACF">
      <w:pPr>
        <w:pStyle w:val="Akapitzlist1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kosmetologia,</w:t>
      </w:r>
    </w:p>
    <w:p w:rsidR="005A3ACF" w:rsidRPr="00632D99" w:rsidRDefault="005A3ACF" w:rsidP="005A3ACF">
      <w:pPr>
        <w:pStyle w:val="Akapitzlist1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pielęgniarstwo,</w:t>
      </w:r>
    </w:p>
    <w:p w:rsidR="005A3ACF" w:rsidRPr="00632D99" w:rsidRDefault="005A3ACF" w:rsidP="005A3ACF">
      <w:pPr>
        <w:pStyle w:val="Akapitzlist1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położnictwo,</w:t>
      </w:r>
    </w:p>
    <w:p w:rsidR="005A3ACF" w:rsidRPr="00632D99" w:rsidRDefault="005A3ACF" w:rsidP="005A3ACF">
      <w:pPr>
        <w:pStyle w:val="Akapitzlist1"/>
        <w:numPr>
          <w:ilvl w:val="0"/>
          <w:numId w:val="20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zdrowie publiczne.</w:t>
      </w:r>
    </w:p>
    <w:p w:rsidR="005A3ACF" w:rsidRPr="00632D99" w:rsidRDefault="005A3ACF" w:rsidP="005A3ACF">
      <w:pPr>
        <w:jc w:val="center"/>
        <w:rPr>
          <w:b/>
        </w:rPr>
      </w:pPr>
      <w:r w:rsidRPr="00632D99">
        <w:rPr>
          <w:b/>
        </w:rPr>
        <w:t>§ 2</w:t>
      </w:r>
    </w:p>
    <w:p w:rsidR="005A3ACF" w:rsidRPr="00632D99" w:rsidRDefault="005A3ACF" w:rsidP="005A3ACF"/>
    <w:p w:rsidR="005A3ACF" w:rsidRPr="00632D99" w:rsidRDefault="005A3ACF" w:rsidP="00632D99">
      <w:pPr>
        <w:pStyle w:val="Akapitzlist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Limity przyjęć na studia stacjonarne i niestacjonarne na kierunki lekarski i lekarsko-dentystyczny w roku akademickim 201</w:t>
      </w:r>
      <w:r w:rsidR="00287AB5" w:rsidRPr="00632D99">
        <w:rPr>
          <w:rFonts w:ascii="Times New Roman" w:hAnsi="Times New Roman"/>
          <w:sz w:val="24"/>
          <w:szCs w:val="24"/>
        </w:rPr>
        <w:t>5</w:t>
      </w:r>
      <w:r w:rsidRPr="00632D99">
        <w:rPr>
          <w:rFonts w:ascii="Times New Roman" w:hAnsi="Times New Roman"/>
          <w:sz w:val="24"/>
          <w:szCs w:val="24"/>
        </w:rPr>
        <w:t>/201</w:t>
      </w:r>
      <w:r w:rsidR="00287AB5" w:rsidRPr="00632D99">
        <w:rPr>
          <w:rFonts w:ascii="Times New Roman" w:hAnsi="Times New Roman"/>
          <w:sz w:val="24"/>
          <w:szCs w:val="24"/>
        </w:rPr>
        <w:t>6</w:t>
      </w:r>
      <w:r w:rsidRPr="00632D99">
        <w:rPr>
          <w:rFonts w:ascii="Times New Roman" w:hAnsi="Times New Roman"/>
          <w:sz w:val="24"/>
          <w:szCs w:val="24"/>
        </w:rPr>
        <w:t xml:space="preserve"> określa Minister Zdrowia </w:t>
      </w:r>
      <w:r w:rsidR="000F7C22">
        <w:rPr>
          <w:rFonts w:ascii="Times New Roman" w:hAnsi="Times New Roman"/>
          <w:sz w:val="24"/>
          <w:szCs w:val="24"/>
        </w:rPr>
        <w:br/>
      </w:r>
      <w:r w:rsidRPr="00632D99">
        <w:rPr>
          <w:rFonts w:ascii="Times New Roman" w:hAnsi="Times New Roman"/>
          <w:sz w:val="24"/>
          <w:szCs w:val="24"/>
        </w:rPr>
        <w:t>w porozumieniu z Ministrem Nauki i Szkolnictwa Wyższego.</w:t>
      </w:r>
    </w:p>
    <w:p w:rsidR="005A3ACF" w:rsidRPr="00632D99" w:rsidRDefault="005A3ACF" w:rsidP="00632D99">
      <w:pPr>
        <w:pStyle w:val="Akapitzlist1"/>
        <w:spacing w:after="0" w:line="240" w:lineRule="auto"/>
        <w:ind w:hanging="360"/>
        <w:jc w:val="both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632D99">
      <w:pPr>
        <w:pStyle w:val="Akapitzlist1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 xml:space="preserve">Limity przyjęć z podziałem na studia stacjonarne i niestacjonarne na pozostałe kierunki studiów ustala Senat. </w:t>
      </w:r>
    </w:p>
    <w:p w:rsidR="005A3ACF" w:rsidRPr="00632D99" w:rsidRDefault="005A3ACF" w:rsidP="005A3ACF">
      <w:pPr>
        <w:jc w:val="center"/>
        <w:rPr>
          <w:b/>
        </w:rPr>
      </w:pPr>
      <w:r w:rsidRPr="00632D99">
        <w:rPr>
          <w:b/>
        </w:rPr>
        <w:lastRenderedPageBreak/>
        <w:t>§ 3</w:t>
      </w:r>
    </w:p>
    <w:p w:rsidR="005A3ACF" w:rsidRPr="00632D99" w:rsidRDefault="005A3ACF" w:rsidP="005A3ACF"/>
    <w:p w:rsidR="005A3ACF" w:rsidRPr="00632D99" w:rsidRDefault="005A3ACF" w:rsidP="005A3ACF">
      <w:pPr>
        <w:pStyle w:val="Akapitzlist1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Postępowanie rekrutacyjne przeprowadzają Wydziałowe Komisje Rekrutacyjne.</w:t>
      </w:r>
    </w:p>
    <w:p w:rsidR="00D661EA" w:rsidRPr="00632D99" w:rsidRDefault="00D661EA" w:rsidP="00D661EA">
      <w:pPr>
        <w:pStyle w:val="Akapitzlist1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Wydziałowe Komisje Rekrutacyjne podejmują decyzje w sprawach przyjęcia na studia.</w:t>
      </w:r>
    </w:p>
    <w:p w:rsidR="005A3ACF" w:rsidRPr="00632D99" w:rsidRDefault="005A3ACF" w:rsidP="005A3ACF">
      <w:pPr>
        <w:pStyle w:val="Akapitzlist1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Od decyzji Wydziałowej Komisji Rekrutacyjnej służy odwołanie w terminie 14 dni od daty doręczenia decyzji, do Uczelnianej Komisji Rekrutacyjnej.</w:t>
      </w:r>
    </w:p>
    <w:p w:rsidR="00287AB5" w:rsidRPr="00632D99" w:rsidRDefault="00287AB5" w:rsidP="00287AB5">
      <w:pPr>
        <w:pStyle w:val="Akapitzlist"/>
      </w:pPr>
    </w:p>
    <w:p w:rsidR="005A3ACF" w:rsidRPr="00632D99" w:rsidRDefault="005A3ACF" w:rsidP="005A3ACF">
      <w:pPr>
        <w:pStyle w:val="Akapitzlist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Podstawą odwołania od decyzji Wydziałowej Komisji Rekrutacyjnej może być jedynie wskazanie naruszenia warunków i trybu rekrutacji na studia.</w:t>
      </w:r>
    </w:p>
    <w:p w:rsidR="005A3ACF" w:rsidRPr="00632D99" w:rsidRDefault="005A3ACF" w:rsidP="005A3ACF">
      <w:pPr>
        <w:pStyle w:val="Akapitzlist1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trike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Po rozpatrzeniu odwołania, o którym mowa w ust. 3 decyzję podejmuje Uczelniana Komisja Rekrutacyjna. Decyzja ta jest ostateczna.</w:t>
      </w:r>
    </w:p>
    <w:p w:rsidR="005A3ACF" w:rsidRPr="00632D99" w:rsidRDefault="005A3ACF" w:rsidP="005A3ACF">
      <w:pPr>
        <w:pStyle w:val="Akapitzlist1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Skład Komisji, zasady i tryb działania określają w drodze uchwały odpowiednio:</w:t>
      </w:r>
    </w:p>
    <w:p w:rsidR="005A3ACF" w:rsidRPr="00632D99" w:rsidRDefault="005A3ACF" w:rsidP="005A3ACF">
      <w:pPr>
        <w:pStyle w:val="Akapitzlist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dla Wydziałowej Komisji Rekrutacyjnej – Rada Wydziału,</w:t>
      </w:r>
    </w:p>
    <w:p w:rsidR="005A3ACF" w:rsidRPr="00632D99" w:rsidRDefault="005A3ACF" w:rsidP="005A3ACF">
      <w:pPr>
        <w:pStyle w:val="Akapitzlist1"/>
        <w:numPr>
          <w:ilvl w:val="0"/>
          <w:numId w:val="27"/>
        </w:numPr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 xml:space="preserve">dla Uczelnianej Komisji Rekrutacyjnej – Senat. </w:t>
      </w:r>
    </w:p>
    <w:p w:rsidR="005A3ACF" w:rsidRDefault="005A3ACF" w:rsidP="005A3ACF">
      <w:pPr>
        <w:pStyle w:val="Akapitzlist1"/>
        <w:spacing w:after="0" w:line="360" w:lineRule="auto"/>
        <w:jc w:val="both"/>
        <w:rPr>
          <w:rFonts w:ascii="Times New Roman" w:hAnsi="Times New Roman"/>
        </w:rPr>
      </w:pPr>
    </w:p>
    <w:p w:rsidR="005A3ACF" w:rsidRDefault="005A3ACF" w:rsidP="005A3ACF">
      <w:pPr>
        <w:rPr>
          <w:b/>
          <w:sz w:val="28"/>
          <w:szCs w:val="28"/>
        </w:rPr>
      </w:pPr>
      <w:r>
        <w:rPr>
          <w:b/>
          <w:sz w:val="28"/>
          <w:szCs w:val="28"/>
        </w:rPr>
        <w:t>II. Zasady i tryb rekrutacji</w:t>
      </w:r>
    </w:p>
    <w:p w:rsidR="005A3ACF" w:rsidRDefault="005A3ACF" w:rsidP="005A3ACF">
      <w:pPr>
        <w:jc w:val="center"/>
        <w:rPr>
          <w:b/>
        </w:rPr>
      </w:pPr>
      <w:r>
        <w:rPr>
          <w:b/>
        </w:rPr>
        <w:t>§ 4</w:t>
      </w:r>
    </w:p>
    <w:p w:rsidR="005A3ACF" w:rsidRDefault="005A3ACF" w:rsidP="005A3ACF"/>
    <w:p w:rsidR="005A3ACF" w:rsidRPr="00632D99" w:rsidRDefault="005A3ACF" w:rsidP="005A3ACF">
      <w:pPr>
        <w:pStyle w:val="Akapitzlist1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Postępowanie rekrutacyjne składa się z postępowania kwalifikacyjnego oraz postępowania dotyczącego wydania decyzji o przyjęciu lub odmowie przyjęcia na studia.</w:t>
      </w:r>
    </w:p>
    <w:p w:rsidR="005A3ACF" w:rsidRPr="00632D99" w:rsidRDefault="005A3ACF" w:rsidP="005A3AC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Wyniki postępowania rekrutacyjnego są jawne.</w:t>
      </w:r>
    </w:p>
    <w:p w:rsidR="005A3ACF" w:rsidRPr="00632D99" w:rsidRDefault="005A3ACF" w:rsidP="005A3ACF"/>
    <w:p w:rsidR="005A3ACF" w:rsidRPr="00632D99" w:rsidRDefault="005A3ACF" w:rsidP="005A3ACF">
      <w:pPr>
        <w:jc w:val="center"/>
        <w:rPr>
          <w:b/>
        </w:rPr>
      </w:pPr>
      <w:r w:rsidRPr="00632D99">
        <w:rPr>
          <w:b/>
        </w:rPr>
        <w:t>§ 5</w:t>
      </w:r>
    </w:p>
    <w:p w:rsidR="005A3ACF" w:rsidRPr="00632D99" w:rsidRDefault="005A3ACF" w:rsidP="005A3ACF">
      <w:pPr>
        <w:jc w:val="center"/>
      </w:pPr>
    </w:p>
    <w:p w:rsidR="005A3ACF" w:rsidRPr="00632D99" w:rsidRDefault="005A3ACF" w:rsidP="005A3ACF">
      <w:pPr>
        <w:pStyle w:val="Akapitzlist1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Do postępowania kwalifikacyjnego na I rok studiów w Śląskim Uniwersytecie Medycznym w Katowicach może być dopuszczona osoba, która:</w:t>
      </w:r>
    </w:p>
    <w:p w:rsidR="005A3ACF" w:rsidRPr="00632D99" w:rsidRDefault="005A3ACF" w:rsidP="005A3ACF">
      <w:pPr>
        <w:pStyle w:val="Akapitzlist1"/>
        <w:numPr>
          <w:ilvl w:val="2"/>
          <w:numId w:val="13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zarejestrowała się w terminie wyznaczonym przez Uczelnię w systemie internetowej rejestracji kandydatów,</w:t>
      </w:r>
    </w:p>
    <w:p w:rsidR="005A3ACF" w:rsidRPr="00632D99" w:rsidRDefault="005A3ACF" w:rsidP="005A3ACF">
      <w:pPr>
        <w:pStyle w:val="Akapitzlist1"/>
        <w:numPr>
          <w:ilvl w:val="2"/>
          <w:numId w:val="13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 xml:space="preserve">dokonała wpłaty opłaty rekrutacyjnej w terminie wyznaczonym przez Uczelnię, </w:t>
      </w:r>
      <w:r w:rsidRPr="00632D99">
        <w:rPr>
          <w:rFonts w:ascii="Times New Roman" w:hAnsi="Times New Roman"/>
          <w:sz w:val="24"/>
          <w:szCs w:val="24"/>
        </w:rPr>
        <w:br/>
        <w:t xml:space="preserve">w wysokości ustalonej przez Rektora, </w:t>
      </w:r>
    </w:p>
    <w:p w:rsidR="005A3ACF" w:rsidRPr="00632D99" w:rsidRDefault="005A3ACF" w:rsidP="005A3ACF">
      <w:pPr>
        <w:pStyle w:val="Akapitzlist1"/>
        <w:numPr>
          <w:ilvl w:val="2"/>
          <w:numId w:val="13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 xml:space="preserve">posiada świadectwo dojrzałości uzyskane w trybie tzw. „nowej matury”, albo świadectwo dojrzałości uzyskane w trybie tzw.  „starej matury”  lub dyplom matury międzynarodowej (IB), dyplom matury europejskiej (EB) albo świadectwo </w:t>
      </w:r>
      <w:r w:rsidRPr="00632D99">
        <w:rPr>
          <w:rFonts w:ascii="Times New Roman" w:hAnsi="Times New Roman"/>
          <w:sz w:val="24"/>
          <w:szCs w:val="24"/>
        </w:rPr>
        <w:lastRenderedPageBreak/>
        <w:t>maturalne uzyskane za granicą, uprawniające do ubiegania się o przyjęcie do szkoły wyższej – w przypadku osoby, która ubiega się o przyjęcie na studia pierwszego stopnia lub jednolite studia magisterskie,</w:t>
      </w:r>
    </w:p>
    <w:p w:rsidR="005A3ACF" w:rsidRPr="00632D99" w:rsidRDefault="005A3ACF" w:rsidP="005A3ACF">
      <w:pPr>
        <w:pStyle w:val="Akapitzlist1"/>
        <w:numPr>
          <w:ilvl w:val="2"/>
          <w:numId w:val="13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posiada tytuł licencjata, magistra, inżyniera lub równorzędny – w przypadku osoby, która ubiega się o przyjęcie na studia drugiego stopnia.</w:t>
      </w:r>
    </w:p>
    <w:p w:rsidR="005A3ACF" w:rsidRPr="00632D99" w:rsidRDefault="005A3ACF" w:rsidP="005A3ACF">
      <w:pPr>
        <w:pStyle w:val="Akapitzlist1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 xml:space="preserve">Do postępowania kwalifikacyjnego nie zostaną dopuszczone osoby, które zdawały maturę w systemie tzw. „nowej matury” i nie zdawały egzaminu maturalnego </w:t>
      </w:r>
      <w:r w:rsidR="00632D99">
        <w:rPr>
          <w:rFonts w:ascii="Times New Roman" w:hAnsi="Times New Roman"/>
          <w:sz w:val="24"/>
          <w:szCs w:val="24"/>
        </w:rPr>
        <w:br/>
      </w:r>
      <w:r w:rsidRPr="00632D99">
        <w:rPr>
          <w:rFonts w:ascii="Times New Roman" w:hAnsi="Times New Roman"/>
          <w:sz w:val="24"/>
          <w:szCs w:val="24"/>
        </w:rPr>
        <w:t xml:space="preserve">ze wszystkich przedmiotów wymaganych w postępowaniu rekrutacyjnym na dany kierunek w zakresie podstawowym lub rozszerzonym lub zdawały je w zakresie podstawowym a warunki rekrutacji wymagają wyniku egzaminu maturalnego </w:t>
      </w:r>
      <w:r w:rsidR="00632D99">
        <w:rPr>
          <w:rFonts w:ascii="Times New Roman" w:hAnsi="Times New Roman"/>
          <w:sz w:val="24"/>
          <w:szCs w:val="24"/>
        </w:rPr>
        <w:br/>
      </w:r>
      <w:r w:rsidRPr="00632D99">
        <w:rPr>
          <w:rFonts w:ascii="Times New Roman" w:hAnsi="Times New Roman"/>
          <w:sz w:val="24"/>
          <w:szCs w:val="24"/>
        </w:rPr>
        <w:t>w zakresie rozszerzonym.</w:t>
      </w:r>
    </w:p>
    <w:p w:rsidR="005A3ACF" w:rsidRPr="00632D99" w:rsidRDefault="005A3ACF" w:rsidP="005A3ACF">
      <w:pPr>
        <w:pStyle w:val="Akapitzlist1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 xml:space="preserve">Postanowienia ust. 2 stosuje się odpowiednio do osób, które zdawały maturę </w:t>
      </w:r>
      <w:r w:rsidR="00632D99">
        <w:rPr>
          <w:rFonts w:ascii="Times New Roman" w:hAnsi="Times New Roman"/>
          <w:sz w:val="24"/>
          <w:szCs w:val="24"/>
        </w:rPr>
        <w:br/>
      </w:r>
      <w:r w:rsidRPr="00632D99">
        <w:rPr>
          <w:rFonts w:ascii="Times New Roman" w:hAnsi="Times New Roman"/>
          <w:sz w:val="24"/>
          <w:szCs w:val="24"/>
        </w:rPr>
        <w:t xml:space="preserve">w systemie tzw. „starej matury” i zdają </w:t>
      </w:r>
      <w:r w:rsidR="000F6E39" w:rsidRPr="00632D99">
        <w:rPr>
          <w:rFonts w:ascii="Times New Roman" w:hAnsi="Times New Roman"/>
          <w:sz w:val="24"/>
          <w:szCs w:val="24"/>
        </w:rPr>
        <w:t xml:space="preserve">lub zdawały w latach wcześniejszych </w:t>
      </w:r>
      <w:r w:rsidRPr="00632D99">
        <w:rPr>
          <w:rFonts w:ascii="Times New Roman" w:hAnsi="Times New Roman"/>
          <w:sz w:val="24"/>
          <w:szCs w:val="24"/>
        </w:rPr>
        <w:t>egzaminy wstępne</w:t>
      </w:r>
      <w:r w:rsidR="000F6E39" w:rsidRPr="00632D99">
        <w:rPr>
          <w:rFonts w:ascii="Times New Roman" w:hAnsi="Times New Roman"/>
          <w:sz w:val="24"/>
          <w:szCs w:val="24"/>
        </w:rPr>
        <w:t>,</w:t>
      </w:r>
      <w:r w:rsidRPr="00632D99">
        <w:rPr>
          <w:rFonts w:ascii="Times New Roman" w:hAnsi="Times New Roman"/>
          <w:sz w:val="24"/>
          <w:szCs w:val="24"/>
        </w:rPr>
        <w:t xml:space="preserve"> na zasadach określonych w załączniku nr 2 do uchwały.</w:t>
      </w:r>
    </w:p>
    <w:p w:rsidR="005A3ACF" w:rsidRPr="00632D99" w:rsidRDefault="005A3ACF" w:rsidP="005A3ACF">
      <w:pPr>
        <w:pStyle w:val="Akapitzlist1"/>
        <w:numPr>
          <w:ilvl w:val="0"/>
          <w:numId w:val="17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 xml:space="preserve">Warunkiem przyjęcia na studia w SUM kandydatów, którzy przystępowali do postępowania rekrutacyjnego w innej uczelni w kraju, jest spełnienie kryteriów rekrutacji obowiązujących w Śląskim Uniwersytecie Medycznym w Katowicach. </w:t>
      </w:r>
    </w:p>
    <w:p w:rsidR="005A3ACF" w:rsidRPr="00632D99" w:rsidRDefault="005A3ACF" w:rsidP="005A3ACF">
      <w:pPr>
        <w:jc w:val="center"/>
        <w:rPr>
          <w:b/>
        </w:rPr>
      </w:pPr>
      <w:r w:rsidRPr="00632D99">
        <w:rPr>
          <w:b/>
        </w:rPr>
        <w:t>§ 6</w:t>
      </w:r>
    </w:p>
    <w:p w:rsidR="005A3ACF" w:rsidRPr="00632D99" w:rsidRDefault="005A3ACF" w:rsidP="005A3ACF">
      <w:pPr>
        <w:jc w:val="center"/>
        <w:rPr>
          <w:b/>
        </w:rPr>
      </w:pPr>
    </w:p>
    <w:p w:rsidR="005A3ACF" w:rsidRPr="00632D99" w:rsidRDefault="005A3ACF" w:rsidP="005A3ACF">
      <w:pPr>
        <w:pStyle w:val="Akapitzlist1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Kandydaci legitymujący się świadectwem dojrzałości uzyskanym za granicą, uprawniającym do ubiegania się o przyjęcie na studia wyższe w kraju wystawienia tego świadectwa, podlegają postępowaniu kwalifikacyjnemu według tych samych zasad, co kandydaci legitymujący się egzaminem dojrzałości zwanym dalej „starą maturą”.</w:t>
      </w:r>
    </w:p>
    <w:p w:rsidR="005A3ACF" w:rsidRPr="00632D99" w:rsidRDefault="005A3ACF" w:rsidP="005A3AC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 xml:space="preserve">Na zasadach obowiązujących obywateli polskich postępowaniu rekrutacyjnemu podlegają cudzoziemcy, o których mowa w art. 43 ust. 2 Ustawy z dnia 27 lipca 2005r. Prawo o szkolnictwie wyższym </w:t>
      </w:r>
      <w:r w:rsidRPr="00632D99">
        <w:rPr>
          <w:rFonts w:ascii="Times New Roman" w:hAnsi="Times New Roman"/>
          <w:i/>
          <w:sz w:val="24"/>
          <w:szCs w:val="24"/>
        </w:rPr>
        <w:t>(</w:t>
      </w:r>
      <w:r w:rsidR="00632D99" w:rsidRPr="00632D99">
        <w:rPr>
          <w:rFonts w:ascii="Times New Roman" w:hAnsi="Times New Roman"/>
          <w:i/>
          <w:sz w:val="24"/>
          <w:szCs w:val="24"/>
        </w:rPr>
        <w:t xml:space="preserve">t. j. </w:t>
      </w:r>
      <w:r w:rsidRPr="00632D99">
        <w:rPr>
          <w:rFonts w:ascii="Times New Roman" w:hAnsi="Times New Roman"/>
          <w:i/>
          <w:sz w:val="24"/>
          <w:szCs w:val="24"/>
        </w:rPr>
        <w:t xml:space="preserve">Dz. U. </w:t>
      </w:r>
      <w:r w:rsidR="008E73A7" w:rsidRPr="00632D99">
        <w:rPr>
          <w:rFonts w:ascii="Times New Roman" w:hAnsi="Times New Roman"/>
          <w:i/>
          <w:sz w:val="24"/>
          <w:szCs w:val="24"/>
        </w:rPr>
        <w:t>z 2012 r.</w:t>
      </w:r>
      <w:r w:rsidRPr="00632D99">
        <w:rPr>
          <w:rFonts w:ascii="Times New Roman" w:hAnsi="Times New Roman"/>
          <w:i/>
          <w:sz w:val="24"/>
          <w:szCs w:val="24"/>
        </w:rPr>
        <w:t xml:space="preserve">, poz. </w:t>
      </w:r>
      <w:r w:rsidR="008E73A7" w:rsidRPr="00632D99">
        <w:rPr>
          <w:rFonts w:ascii="Times New Roman" w:hAnsi="Times New Roman"/>
          <w:i/>
          <w:sz w:val="24"/>
          <w:szCs w:val="24"/>
        </w:rPr>
        <w:t>572</w:t>
      </w:r>
      <w:r w:rsidRPr="00632D99">
        <w:rPr>
          <w:rFonts w:ascii="Times New Roman" w:hAnsi="Times New Roman"/>
          <w:i/>
          <w:sz w:val="24"/>
          <w:szCs w:val="24"/>
        </w:rPr>
        <w:t xml:space="preserve"> z </w:t>
      </w:r>
      <w:proofErr w:type="spellStart"/>
      <w:r w:rsidRPr="00632D99">
        <w:rPr>
          <w:rFonts w:ascii="Times New Roman" w:hAnsi="Times New Roman"/>
          <w:i/>
          <w:sz w:val="24"/>
          <w:szCs w:val="24"/>
        </w:rPr>
        <w:t>późn</w:t>
      </w:r>
      <w:proofErr w:type="spellEnd"/>
      <w:r w:rsidRPr="00632D99">
        <w:rPr>
          <w:rFonts w:ascii="Times New Roman" w:hAnsi="Times New Roman"/>
          <w:i/>
          <w:sz w:val="24"/>
          <w:szCs w:val="24"/>
        </w:rPr>
        <w:t>. zm.).</w:t>
      </w:r>
    </w:p>
    <w:p w:rsidR="005A3ACF" w:rsidRPr="00632D99" w:rsidRDefault="005A3ACF" w:rsidP="005A3ACF">
      <w:pPr>
        <w:pStyle w:val="Akapitzlist1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 xml:space="preserve">Cudzoziemcy inni niż wymienieni w ust. 2 mogą studiować na zasadach określonych w odrębnych przepisach. </w:t>
      </w:r>
    </w:p>
    <w:p w:rsidR="005A3ACF" w:rsidRPr="00632D99" w:rsidRDefault="005A3ACF" w:rsidP="005A3ACF">
      <w:pPr>
        <w:pStyle w:val="Akapitzlist1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 xml:space="preserve">Kandydaci legitymujący się dyplomem matury międzynarodowej IB </w:t>
      </w:r>
      <w:r w:rsidRPr="00632D99">
        <w:rPr>
          <w:rFonts w:ascii="Times New Roman" w:hAnsi="Times New Roman"/>
          <w:sz w:val="24"/>
          <w:szCs w:val="24"/>
          <w:lang w:eastAsia="pl-PL"/>
        </w:rPr>
        <w:t xml:space="preserve">(International </w:t>
      </w:r>
      <w:proofErr w:type="spellStart"/>
      <w:r w:rsidRPr="00632D99">
        <w:rPr>
          <w:rFonts w:ascii="Times New Roman" w:hAnsi="Times New Roman"/>
          <w:sz w:val="24"/>
          <w:szCs w:val="24"/>
          <w:lang w:eastAsia="pl-PL"/>
        </w:rPr>
        <w:t>Baccalaureate</w:t>
      </w:r>
      <w:proofErr w:type="spellEnd"/>
      <w:r w:rsidRPr="00632D99">
        <w:rPr>
          <w:rFonts w:ascii="Times New Roman" w:hAnsi="Times New Roman"/>
          <w:sz w:val="24"/>
          <w:szCs w:val="24"/>
          <w:lang w:eastAsia="pl-PL"/>
        </w:rPr>
        <w:t>)</w:t>
      </w:r>
      <w:r w:rsidRPr="00632D99">
        <w:rPr>
          <w:rFonts w:ascii="Times New Roman" w:hAnsi="Times New Roman"/>
          <w:sz w:val="24"/>
          <w:szCs w:val="24"/>
        </w:rPr>
        <w:t xml:space="preserve"> oraz matury europejskiej EB </w:t>
      </w:r>
      <w:r w:rsidRPr="00632D99">
        <w:rPr>
          <w:rFonts w:ascii="Times New Roman" w:hAnsi="Times New Roman"/>
          <w:sz w:val="24"/>
          <w:szCs w:val="24"/>
          <w:lang w:eastAsia="pl-PL"/>
        </w:rPr>
        <w:t>(</w:t>
      </w:r>
      <w:proofErr w:type="spellStart"/>
      <w:r w:rsidRPr="00632D99">
        <w:rPr>
          <w:rFonts w:ascii="Times New Roman" w:hAnsi="Times New Roman"/>
          <w:sz w:val="24"/>
          <w:szCs w:val="24"/>
          <w:lang w:eastAsia="pl-PL"/>
        </w:rPr>
        <w:t>European</w:t>
      </w:r>
      <w:proofErr w:type="spellEnd"/>
      <w:r w:rsidRPr="00632D99">
        <w:rPr>
          <w:rFonts w:ascii="Times New Roman" w:hAnsi="Times New Roman"/>
          <w:sz w:val="24"/>
          <w:szCs w:val="24"/>
          <w:lang w:eastAsia="pl-PL"/>
        </w:rPr>
        <w:t xml:space="preserve"> </w:t>
      </w:r>
      <w:proofErr w:type="spellStart"/>
      <w:r w:rsidRPr="00632D99">
        <w:rPr>
          <w:rFonts w:ascii="Times New Roman" w:hAnsi="Times New Roman"/>
          <w:sz w:val="24"/>
          <w:szCs w:val="24"/>
          <w:lang w:eastAsia="pl-PL"/>
        </w:rPr>
        <w:t>Baccalaureate</w:t>
      </w:r>
      <w:proofErr w:type="spellEnd"/>
      <w:r w:rsidRPr="00632D99">
        <w:rPr>
          <w:rFonts w:ascii="Times New Roman" w:hAnsi="Times New Roman"/>
          <w:sz w:val="24"/>
          <w:szCs w:val="24"/>
        </w:rPr>
        <w:t>), podlegają postępowaniu kwalifikacyjnemu według tych samych zasad, co kandydaci legitymujący się egzaminem matura</w:t>
      </w:r>
      <w:r w:rsidR="00365302" w:rsidRPr="00632D99">
        <w:rPr>
          <w:rFonts w:ascii="Times New Roman" w:hAnsi="Times New Roman"/>
          <w:sz w:val="24"/>
          <w:szCs w:val="24"/>
        </w:rPr>
        <w:t>lnym zwanym dalej „nową maturą”.</w:t>
      </w:r>
      <w:r w:rsidRPr="00632D99">
        <w:rPr>
          <w:rFonts w:ascii="Times New Roman" w:hAnsi="Times New Roman"/>
          <w:sz w:val="24"/>
          <w:szCs w:val="24"/>
        </w:rPr>
        <w:t xml:space="preserve"> </w:t>
      </w:r>
    </w:p>
    <w:p w:rsidR="005A3ACF" w:rsidRPr="00632D99" w:rsidRDefault="005A3ACF" w:rsidP="005A3ACF">
      <w:pPr>
        <w:pStyle w:val="Akapitzlist1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0"/>
          <w:numId w:val="18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Oceny na dyplomie matury międzynarodowej (IB) zostaną przeliczone przy zastosowaniu następującego przelicznika punktów uzyskanych z danego przedmiotu:</w:t>
      </w:r>
    </w:p>
    <w:p w:rsidR="009879AA" w:rsidRPr="00632D99" w:rsidRDefault="009879AA" w:rsidP="005A3ACF">
      <w:pPr>
        <w:spacing w:line="360" w:lineRule="auto"/>
        <w:jc w:val="both"/>
      </w:pPr>
    </w:p>
    <w:tbl>
      <w:tblPr>
        <w:tblW w:w="0" w:type="auto"/>
        <w:tblInd w:w="817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10"/>
        <w:gridCol w:w="2551"/>
        <w:gridCol w:w="2410"/>
      </w:tblGrid>
      <w:tr w:rsidR="005A3ACF" w:rsidRPr="00E37114" w:rsidTr="005A3ACF">
        <w:trPr>
          <w:trHeight w:val="317"/>
        </w:trPr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jc w:val="center"/>
            </w:pPr>
            <w:r w:rsidRPr="00E37114">
              <w:rPr>
                <w:b/>
                <w:bCs/>
              </w:rPr>
              <w:t>Ocena z dyplomu IB</w:t>
            </w:r>
          </w:p>
        </w:tc>
        <w:tc>
          <w:tcPr>
            <w:tcW w:w="49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jc w:val="center"/>
            </w:pPr>
            <w:r w:rsidRPr="00E37114">
              <w:rPr>
                <w:b/>
                <w:bCs/>
              </w:rPr>
              <w:t xml:space="preserve">Punkty na poziomie </w:t>
            </w:r>
          </w:p>
        </w:tc>
      </w:tr>
      <w:tr w:rsidR="005A3ACF" w:rsidRPr="00E37114" w:rsidTr="005A3ACF">
        <w:trPr>
          <w:trHeight w:val="150"/>
        </w:trPr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5A3ACF" w:rsidRPr="00E37114" w:rsidRDefault="005A3ACF" w:rsidP="005A3ACF"/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spacing w:line="150" w:lineRule="atLeast"/>
              <w:jc w:val="center"/>
            </w:pPr>
            <w:r w:rsidRPr="00E37114">
              <w:rPr>
                <w:b/>
                <w:bCs/>
              </w:rPr>
              <w:t>podstawowym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spacing w:line="150" w:lineRule="atLeast"/>
              <w:jc w:val="center"/>
            </w:pPr>
            <w:r w:rsidRPr="00E37114">
              <w:rPr>
                <w:b/>
                <w:bCs/>
              </w:rPr>
              <w:t>rozszerzonym</w:t>
            </w:r>
          </w:p>
        </w:tc>
      </w:tr>
      <w:tr w:rsidR="005A3ACF" w:rsidRPr="00E37114" w:rsidTr="005A3ACF">
        <w:trPr>
          <w:trHeight w:val="150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spacing w:line="150" w:lineRule="atLeast"/>
              <w:jc w:val="center"/>
            </w:pPr>
            <w:r w:rsidRPr="00E37114">
              <w:t>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spacing w:line="150" w:lineRule="atLeast"/>
              <w:jc w:val="center"/>
            </w:pPr>
            <w:r w:rsidRPr="00E37114">
              <w:t>100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spacing w:line="150" w:lineRule="atLeast"/>
              <w:jc w:val="center"/>
            </w:pPr>
            <w:r w:rsidRPr="00E37114">
              <w:t>100</w:t>
            </w:r>
          </w:p>
        </w:tc>
      </w:tr>
      <w:tr w:rsidR="005A3ACF" w:rsidRPr="00E37114" w:rsidTr="005A3ACF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jc w:val="center"/>
            </w:pPr>
            <w:r w:rsidRPr="00E37114">
              <w:t>6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jc w:val="center"/>
            </w:pPr>
            <w:r w:rsidRPr="00E37114">
              <w:t>90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jc w:val="center"/>
            </w:pPr>
            <w:r w:rsidRPr="00E37114">
              <w:t>95</w:t>
            </w:r>
          </w:p>
        </w:tc>
      </w:tr>
      <w:tr w:rsidR="005A3ACF" w:rsidRPr="00E37114" w:rsidTr="005A3ACF">
        <w:trPr>
          <w:trHeight w:val="268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jc w:val="center"/>
            </w:pPr>
            <w:r w:rsidRPr="00E37114">
              <w:t>5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jc w:val="center"/>
            </w:pPr>
            <w:r w:rsidRPr="00E37114">
              <w:t>80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jc w:val="center"/>
            </w:pPr>
            <w:r w:rsidRPr="00E37114">
              <w:t>90</w:t>
            </w:r>
          </w:p>
        </w:tc>
      </w:tr>
      <w:tr w:rsidR="005A3ACF" w:rsidRPr="00E37114" w:rsidTr="005A3ACF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jc w:val="center"/>
            </w:pPr>
            <w:r w:rsidRPr="00E37114"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jc w:val="center"/>
            </w:pPr>
            <w:r w:rsidRPr="00E37114">
              <w:t>70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jc w:val="center"/>
            </w:pPr>
            <w:r w:rsidRPr="00E37114">
              <w:t>80</w:t>
            </w:r>
          </w:p>
        </w:tc>
      </w:tr>
      <w:tr w:rsidR="005A3ACF" w:rsidRPr="00E37114" w:rsidTr="005A3ACF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jc w:val="center"/>
            </w:pPr>
            <w:r w:rsidRPr="00E37114">
              <w:t>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jc w:val="center"/>
            </w:pPr>
            <w:r w:rsidRPr="00E37114">
              <w:t>60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jc w:val="center"/>
            </w:pPr>
            <w:r w:rsidRPr="00E37114">
              <w:t>70</w:t>
            </w:r>
          </w:p>
        </w:tc>
      </w:tr>
      <w:tr w:rsidR="005A3ACF" w:rsidRPr="00E37114" w:rsidTr="005A3ACF"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jc w:val="center"/>
            </w:pPr>
            <w:r w:rsidRPr="00E37114">
              <w:t>2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jc w:val="center"/>
            </w:pPr>
            <w:r w:rsidRPr="00E37114">
              <w:t>50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jc w:val="center"/>
            </w:pPr>
            <w:r w:rsidRPr="00E37114">
              <w:t>60</w:t>
            </w:r>
          </w:p>
        </w:tc>
      </w:tr>
      <w:tr w:rsidR="005A3ACF" w:rsidRPr="00E37114" w:rsidTr="005A3ACF">
        <w:trPr>
          <w:trHeight w:val="75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spacing w:line="75" w:lineRule="atLeast"/>
              <w:jc w:val="center"/>
            </w:pPr>
            <w:r w:rsidRPr="00E37114">
              <w:t>1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spacing w:line="75" w:lineRule="atLeast"/>
              <w:jc w:val="center"/>
            </w:pPr>
            <w:r w:rsidRPr="00E37114">
              <w:t>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A3ACF" w:rsidRPr="00E37114" w:rsidRDefault="005A3ACF" w:rsidP="005A3ACF">
            <w:pPr>
              <w:spacing w:line="75" w:lineRule="atLeast"/>
              <w:jc w:val="center"/>
            </w:pPr>
            <w:r w:rsidRPr="00E37114">
              <w:t>40</w:t>
            </w:r>
          </w:p>
        </w:tc>
      </w:tr>
    </w:tbl>
    <w:p w:rsidR="005A3ACF" w:rsidRDefault="005A3ACF" w:rsidP="005A3ACF">
      <w:pPr>
        <w:spacing w:after="120" w:line="360" w:lineRule="auto"/>
        <w:rPr>
          <w:b/>
        </w:rPr>
      </w:pPr>
    </w:p>
    <w:p w:rsidR="005A3ACF" w:rsidRPr="005B0BB3" w:rsidRDefault="005A3ACF" w:rsidP="005B0BB3">
      <w:pPr>
        <w:pStyle w:val="Akapitzlist1"/>
        <w:numPr>
          <w:ilvl w:val="0"/>
          <w:numId w:val="18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  <w:lang w:eastAsia="pl-PL"/>
        </w:rPr>
        <w:t xml:space="preserve">Wynik egzaminu matury europejskiej (EB) będzie przeliczony na punkty według zasady: </w:t>
      </w:r>
      <w:r w:rsidRPr="005B0BB3">
        <w:rPr>
          <w:rFonts w:ascii="Times New Roman" w:hAnsi="Times New Roman"/>
          <w:sz w:val="24"/>
          <w:szCs w:val="24"/>
          <w:lang w:eastAsia="pl-PL"/>
        </w:rPr>
        <w:t>wynik x 10.</w:t>
      </w:r>
    </w:p>
    <w:p w:rsidR="005A3ACF" w:rsidRPr="00632D99" w:rsidRDefault="005A3ACF" w:rsidP="005A3ACF">
      <w:pPr>
        <w:spacing w:after="120" w:line="360" w:lineRule="auto"/>
        <w:jc w:val="center"/>
        <w:rPr>
          <w:b/>
        </w:rPr>
      </w:pPr>
      <w:r w:rsidRPr="00632D99">
        <w:rPr>
          <w:b/>
        </w:rPr>
        <w:t>§ 7</w:t>
      </w:r>
    </w:p>
    <w:p w:rsidR="005A3ACF" w:rsidRPr="00632D99" w:rsidRDefault="005A3ACF" w:rsidP="005A3ACF">
      <w:pPr>
        <w:pStyle w:val="Akapitzlist1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Kandydaci legitymujący się nową maturą, starą maturą, maturą międzynarodową (IB) oraz maturą europejską (EB) będą przyjmowani w oparciu o utworzoną jedną, wspólną listę rankingową, odrębną dla poszczególnych kierunków studiów oraz poziomów kształcenia na studiach stacjonarnych i niestacjonarnych z zastrzeżeniem ust. 2.</w:t>
      </w:r>
    </w:p>
    <w:p w:rsidR="005A3ACF" w:rsidRPr="00632D99" w:rsidRDefault="005A3ACF" w:rsidP="005A3AC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F7C22" w:rsidRDefault="005A3ACF" w:rsidP="000F7C22">
      <w:pPr>
        <w:pStyle w:val="Akapitzlist1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 xml:space="preserve">Dla kierunku lekarskiego utworzona zostanie wspólna lista dla Wydziału Lekarskiego w Katowicach i Wydziału Lekarskiego z Oddziałem Lekarsko-Dentystycznym </w:t>
      </w:r>
      <w:r w:rsidR="000F7C22">
        <w:rPr>
          <w:rFonts w:ascii="Times New Roman" w:hAnsi="Times New Roman"/>
          <w:sz w:val="24"/>
          <w:szCs w:val="24"/>
        </w:rPr>
        <w:br/>
      </w:r>
      <w:r w:rsidRPr="00632D99">
        <w:rPr>
          <w:rFonts w:ascii="Times New Roman" w:hAnsi="Times New Roman"/>
          <w:sz w:val="24"/>
          <w:szCs w:val="24"/>
        </w:rPr>
        <w:t>w Zabrzu.</w:t>
      </w:r>
    </w:p>
    <w:p w:rsidR="005A3ACF" w:rsidRPr="000F7C22" w:rsidRDefault="005A3ACF" w:rsidP="000F7C22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F7C22">
        <w:rPr>
          <w:rFonts w:ascii="Times New Roman" w:hAnsi="Times New Roman"/>
          <w:sz w:val="24"/>
          <w:szCs w:val="24"/>
        </w:rPr>
        <w:t>W przypadku niedopełnienia limitu danego wydziału zastrzega się możliwość przeniesienia przyjętego kandydata na równoległy kierunek lekarski.</w:t>
      </w:r>
    </w:p>
    <w:p w:rsidR="005A3ACF" w:rsidRPr="00632D99" w:rsidRDefault="005A3ACF" w:rsidP="005A3ACF">
      <w:pPr>
        <w:pStyle w:val="Akapitzlist1"/>
        <w:spacing w:line="240" w:lineRule="auto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O kolejności umieszczania na liście rankingowej decydować będzie suma punktów uzyskana w postępowaniu kwalifikacyjnym.</w:t>
      </w:r>
    </w:p>
    <w:p w:rsidR="005A3ACF" w:rsidRPr="00632D99" w:rsidRDefault="005A3ACF" w:rsidP="005A3AC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numPr>
          <w:ilvl w:val="0"/>
          <w:numId w:val="19"/>
        </w:numPr>
        <w:spacing w:line="360" w:lineRule="auto"/>
        <w:jc w:val="both"/>
      </w:pPr>
      <w:r w:rsidRPr="00632D99">
        <w:t>Wynik egzaminu maturalnego wyrażony w procentach winien zostać podany przez kandydata jako wynik wyrażony w punktach,</w:t>
      </w:r>
      <w:r w:rsidRPr="00632D99">
        <w:rPr>
          <w:color w:val="FF0000"/>
        </w:rPr>
        <w:t xml:space="preserve"> </w:t>
      </w:r>
      <w:r w:rsidRPr="00632D99">
        <w:t>według zasady 1%=1 punkt.</w:t>
      </w:r>
    </w:p>
    <w:p w:rsidR="005A3ACF" w:rsidRPr="00632D99" w:rsidRDefault="005A3ACF" w:rsidP="005A3ACF">
      <w:pPr>
        <w:ind w:left="709"/>
        <w:jc w:val="both"/>
      </w:pPr>
    </w:p>
    <w:p w:rsidR="005A3ACF" w:rsidRPr="00632D99" w:rsidRDefault="005A3ACF" w:rsidP="005A3ACF">
      <w:pPr>
        <w:numPr>
          <w:ilvl w:val="0"/>
          <w:numId w:val="19"/>
        </w:numPr>
        <w:spacing w:after="240" w:line="360" w:lineRule="auto"/>
        <w:jc w:val="both"/>
      </w:pPr>
      <w:r w:rsidRPr="00632D99">
        <w:t xml:space="preserve">Wynik egzaminu dojrzałości wyrażony w ocenach kandydaci winni przeliczyć </w:t>
      </w:r>
      <w:r w:rsidR="003A57DB">
        <w:br/>
      </w:r>
      <w:r w:rsidRPr="00632D99">
        <w:t>na punkty zgodnie z zasadami określonymi w załączniku nr 2 do uchwały, dla danego kierunku.</w:t>
      </w:r>
    </w:p>
    <w:p w:rsidR="005A3ACF" w:rsidRPr="00632D99" w:rsidRDefault="005A3ACF" w:rsidP="005A3ACF">
      <w:pPr>
        <w:numPr>
          <w:ilvl w:val="0"/>
          <w:numId w:val="19"/>
        </w:numPr>
        <w:spacing w:line="360" w:lineRule="auto"/>
        <w:jc w:val="both"/>
      </w:pPr>
      <w:r w:rsidRPr="00632D99">
        <w:lastRenderedPageBreak/>
        <w:t>Wynik egzaminu wstępnego organizowanego przez Uczelnię na jednolite studia magisterskie oraz studia pierwszego stopnia będzie wyrażony w procentach przeliczonych na punkty wg zasady 1%=1 punkt.</w:t>
      </w:r>
    </w:p>
    <w:p w:rsidR="005A3ACF" w:rsidRPr="00632D99" w:rsidRDefault="005A3ACF" w:rsidP="005A3ACF">
      <w:pPr>
        <w:ind w:left="709"/>
        <w:jc w:val="both"/>
      </w:pPr>
    </w:p>
    <w:p w:rsidR="005A3ACF" w:rsidRPr="00632D99" w:rsidRDefault="005A3ACF" w:rsidP="005A3ACF">
      <w:pPr>
        <w:numPr>
          <w:ilvl w:val="0"/>
          <w:numId w:val="19"/>
        </w:numPr>
        <w:spacing w:after="240" w:line="360" w:lineRule="auto"/>
        <w:jc w:val="both"/>
      </w:pPr>
      <w:r w:rsidRPr="00632D99">
        <w:t>Uczelnia uznawać będzie wyniki egzaminów wstępnych z przedmiotów będących podstawą kwalifikacji na określony kierunek, przeprowadzonych w innych uczelniach, z którymi podpisała stosowne porozumienie.</w:t>
      </w:r>
    </w:p>
    <w:p w:rsidR="005A3ACF" w:rsidRPr="00632D99" w:rsidRDefault="005A3ACF" w:rsidP="005A3ACF">
      <w:pPr>
        <w:numPr>
          <w:ilvl w:val="0"/>
          <w:numId w:val="19"/>
        </w:numPr>
        <w:spacing w:after="240" w:line="360" w:lineRule="auto"/>
        <w:jc w:val="both"/>
      </w:pPr>
      <w:r w:rsidRPr="00632D99">
        <w:t xml:space="preserve">O </w:t>
      </w:r>
      <w:r w:rsidR="00256937" w:rsidRPr="00632D99">
        <w:t xml:space="preserve">udział w procesie rekrutacji </w:t>
      </w:r>
      <w:r w:rsidRPr="00632D99">
        <w:t>na studia jednolite magisterskie oraz studia pierwszego stopnia mogą ubiegać się osoby, które uzyskały co najmniej 30 punktów za każdy wymagany w postępowaniu rekrutacyjnym przedmiot.</w:t>
      </w:r>
    </w:p>
    <w:p w:rsidR="005A3ACF" w:rsidRPr="00632D99" w:rsidRDefault="005A3ACF" w:rsidP="005A3ACF">
      <w:pPr>
        <w:numPr>
          <w:ilvl w:val="0"/>
          <w:numId w:val="19"/>
        </w:numPr>
        <w:spacing w:after="200" w:line="360" w:lineRule="auto"/>
        <w:jc w:val="both"/>
      </w:pPr>
      <w:r w:rsidRPr="00632D99">
        <w:t>Listy osób przyjętych na studia na poszczególne kierunki sporządzone zostaną spośród kandydatów, którzy uzyskali najwyższą punktację mieszczącą się w przyznanych limitach i w terminie złożyli komplet wymaganych dokumentów.</w:t>
      </w:r>
    </w:p>
    <w:p w:rsidR="005A3ACF" w:rsidRPr="00632D99" w:rsidRDefault="005A3ACF" w:rsidP="005A3ACF">
      <w:pPr>
        <w:numPr>
          <w:ilvl w:val="0"/>
          <w:numId w:val="19"/>
        </w:numPr>
        <w:spacing w:line="360" w:lineRule="auto"/>
        <w:jc w:val="both"/>
      </w:pPr>
      <w:r w:rsidRPr="00632D99">
        <w:t xml:space="preserve"> W przypadku uzyskania równej liczby punktów przez liczbę kandydatów większą niż wynikająca z przyznanego Rozporządzeniem Ministra Zdrowia lub ustalonego praz Senat Uczelni limitu miejsc na dany kierunek studiów, podstawą przyjęcia na I rok studiów będzie wyższa liczba punktów uzyskana na świadectwie dojrzałości/egzaminie wstępnym z przedmiotu:</w:t>
      </w:r>
    </w:p>
    <w:p w:rsidR="005A3ACF" w:rsidRPr="00632D99" w:rsidRDefault="005A3ACF" w:rsidP="005A3ACF">
      <w:pPr>
        <w:numPr>
          <w:ilvl w:val="0"/>
          <w:numId w:val="26"/>
        </w:numPr>
        <w:spacing w:line="360" w:lineRule="auto"/>
        <w:jc w:val="both"/>
      </w:pPr>
      <w:r w:rsidRPr="00632D99">
        <w:rPr>
          <w:b/>
          <w:bCs/>
        </w:rPr>
        <w:t xml:space="preserve">Biologia </w:t>
      </w:r>
      <w:r w:rsidRPr="00632D99">
        <w:t xml:space="preserve">na kierunki: analityka medyczna, farmacja,  lekarski, lekarsko-dentystyczny, </w:t>
      </w:r>
    </w:p>
    <w:p w:rsidR="005A3ACF" w:rsidRPr="00632D99" w:rsidRDefault="005A3ACF" w:rsidP="005A3ACF">
      <w:pPr>
        <w:pStyle w:val="Akapitzlist1"/>
        <w:numPr>
          <w:ilvl w:val="0"/>
          <w:numId w:val="26"/>
        </w:num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dla kandydatów na studia niestacjonarne na kierunek analityka medyczna – wynik rozmowy kwalifikacyjnej.</w:t>
      </w:r>
    </w:p>
    <w:p w:rsidR="005A3ACF" w:rsidRPr="00632D99" w:rsidRDefault="005A3ACF" w:rsidP="005A3ACF">
      <w:pPr>
        <w:numPr>
          <w:ilvl w:val="0"/>
          <w:numId w:val="19"/>
        </w:numPr>
        <w:spacing w:after="200" w:line="360" w:lineRule="auto"/>
        <w:jc w:val="both"/>
      </w:pPr>
      <w:r w:rsidRPr="00632D99">
        <w:t>Jeżeli więcej niż jeden kandydat uzyska najmniejszą liczbę punktów kwalifikujących do przyjęcia na dany kierunek, a przyjęcie wszystkich takich kandydatów spowodowałoby przekroczenie limitu miejsc zatwierdzonego przez Ministerstwo Zdrowia lub uchwalonego przez Senat Uczelni, Uczelnia zastrzega sobie prawo przyjęcia mniejszej niż limit liczby osób.</w:t>
      </w:r>
    </w:p>
    <w:p w:rsidR="005A3ACF" w:rsidRPr="00632D99" w:rsidRDefault="005A3ACF" w:rsidP="005A3ACF">
      <w:pPr>
        <w:numPr>
          <w:ilvl w:val="0"/>
          <w:numId w:val="19"/>
        </w:numPr>
        <w:spacing w:after="200" w:line="360" w:lineRule="auto"/>
        <w:jc w:val="both"/>
      </w:pPr>
      <w:r w:rsidRPr="00632D99">
        <w:t>Liczbę punktów warunkujących przyjęcie na studia, jak również obniżenie liczby punktów w przypadku nie wyczerpania limitu miejsc, określają Wydziałowe Komisje Rekrutacyjne w formie uchwały.</w:t>
      </w:r>
    </w:p>
    <w:p w:rsidR="005A3ACF" w:rsidRPr="00632D99" w:rsidRDefault="005A3ACF" w:rsidP="00D947DB">
      <w:pPr>
        <w:numPr>
          <w:ilvl w:val="0"/>
          <w:numId w:val="19"/>
        </w:numPr>
        <w:spacing w:line="360" w:lineRule="auto"/>
        <w:jc w:val="both"/>
      </w:pPr>
      <w:r w:rsidRPr="00632D99">
        <w:lastRenderedPageBreak/>
        <w:t xml:space="preserve">Kandydaci, którzy nie zostali zakwalifikowani do przyjęcia </w:t>
      </w:r>
      <w:r w:rsidR="00AC3C56" w:rsidRPr="00632D99">
        <w:t xml:space="preserve">w kolejnych listach rankingowych </w:t>
      </w:r>
      <w:r w:rsidRPr="00632D99">
        <w:t xml:space="preserve">z powodu wyczerpania limitu miejsc, stanowią grupę rezerwową na dany kierunek i formę studiów. W przypadku skreślenia kandydata z listy rankingowej i zwolnienia miejsca na liście przyjętych, osoby </w:t>
      </w:r>
      <w:r w:rsidR="00256937" w:rsidRPr="00632D99">
        <w:t xml:space="preserve">z listy rezerwowej </w:t>
      </w:r>
      <w:r w:rsidRPr="00632D99">
        <w:t>mogą zostać zakwalifikowane do przyjęcia na studia zgodnie z kolejnością umieszczenia na liście rankingowej, wynikającą z sumy punktów uzyskanej w postępowaniu kwalifikacyjnym.</w:t>
      </w:r>
    </w:p>
    <w:p w:rsidR="005A3ACF" w:rsidRPr="00632D99" w:rsidRDefault="005A3ACF" w:rsidP="005A3ACF">
      <w:pPr>
        <w:spacing w:after="120" w:line="360" w:lineRule="auto"/>
        <w:jc w:val="center"/>
        <w:rPr>
          <w:b/>
        </w:rPr>
      </w:pPr>
      <w:r w:rsidRPr="00632D99">
        <w:rPr>
          <w:b/>
        </w:rPr>
        <w:t>§ 8</w:t>
      </w:r>
    </w:p>
    <w:p w:rsidR="005A3ACF" w:rsidRPr="00632D99" w:rsidRDefault="005A3ACF" w:rsidP="005A3ACF">
      <w:pPr>
        <w:numPr>
          <w:ilvl w:val="3"/>
          <w:numId w:val="13"/>
        </w:numPr>
        <w:spacing w:line="360" w:lineRule="auto"/>
        <w:ind w:left="709" w:hanging="283"/>
        <w:jc w:val="both"/>
      </w:pPr>
      <w:r w:rsidRPr="00632D99">
        <w:t>Kandydaci na studia mają możliwość brania udziału w postępowaniu kwalifikacyjnym na dowolną liczbę kierunków studiów jednocześnie.</w:t>
      </w:r>
    </w:p>
    <w:p w:rsidR="005A3ACF" w:rsidRPr="00632D99" w:rsidRDefault="005A3ACF" w:rsidP="005A3ACF">
      <w:pPr>
        <w:pStyle w:val="Akapitzlist1"/>
        <w:spacing w:line="240" w:lineRule="auto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3"/>
          <w:numId w:val="13"/>
        </w:numPr>
        <w:spacing w:after="12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Po zakończeniu procesu rejestracji elektronicznej, w przypadku uzyskania niewystarczającej liczby punktów do przyjęcia na dany kierunek,  nie będzie możliwa zmiana kierunku studiów na inny kierunek w Uczelni nawet wówczas, gdy uzyskana przez kandydata liczba punktów byłaby większa od minimalnej liczby punktów wymaganych na innym kierunku.</w:t>
      </w:r>
    </w:p>
    <w:p w:rsidR="00D947DB" w:rsidRPr="00632D99" w:rsidRDefault="00D947DB" w:rsidP="005A3ACF">
      <w:pPr>
        <w:spacing w:after="120" w:line="360" w:lineRule="auto"/>
        <w:jc w:val="center"/>
        <w:rPr>
          <w:b/>
        </w:rPr>
      </w:pPr>
    </w:p>
    <w:p w:rsidR="005A3ACF" w:rsidRPr="00632D99" w:rsidRDefault="005A3ACF" w:rsidP="005A3ACF">
      <w:pPr>
        <w:spacing w:after="120" w:line="360" w:lineRule="auto"/>
        <w:jc w:val="center"/>
        <w:rPr>
          <w:b/>
        </w:rPr>
      </w:pPr>
      <w:r w:rsidRPr="00632D99">
        <w:rPr>
          <w:b/>
        </w:rPr>
        <w:t>§ 9</w:t>
      </w:r>
    </w:p>
    <w:p w:rsidR="005A3ACF" w:rsidRPr="00632D99" w:rsidRDefault="005A3ACF" w:rsidP="003A57DB">
      <w:pPr>
        <w:pStyle w:val="Akapitzlist1"/>
        <w:numPr>
          <w:ilvl w:val="0"/>
          <w:numId w:val="30"/>
        </w:numPr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 xml:space="preserve">Osoby ubiegające się o przyjęcie na studia na dany kierunek zobowiązane </w:t>
      </w:r>
      <w:r w:rsidR="00247506" w:rsidRPr="00632D99">
        <w:rPr>
          <w:rFonts w:ascii="Times New Roman" w:hAnsi="Times New Roman"/>
          <w:sz w:val="24"/>
          <w:szCs w:val="24"/>
        </w:rPr>
        <w:br/>
      </w:r>
      <w:r w:rsidRPr="00632D99">
        <w:rPr>
          <w:rFonts w:ascii="Times New Roman" w:hAnsi="Times New Roman"/>
          <w:sz w:val="24"/>
          <w:szCs w:val="24"/>
        </w:rPr>
        <w:t>są w terminach podanych przez Uczelnię do:</w:t>
      </w:r>
    </w:p>
    <w:p w:rsidR="005A3ACF" w:rsidRPr="00632D99" w:rsidRDefault="005A3ACF" w:rsidP="005A3ACF">
      <w:pPr>
        <w:pStyle w:val="Akapitzlist1"/>
        <w:numPr>
          <w:ilvl w:val="0"/>
          <w:numId w:val="29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 xml:space="preserve">dokonania elektronicznej rejestracji przez stronę internetową Uczelni www.sum.edu.pl, </w:t>
      </w:r>
    </w:p>
    <w:p w:rsidR="005A3ACF" w:rsidRPr="00632D99" w:rsidRDefault="005A3ACF" w:rsidP="00C418DF">
      <w:pPr>
        <w:pStyle w:val="Akapitzlist1"/>
        <w:numPr>
          <w:ilvl w:val="0"/>
          <w:numId w:val="29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dokonania opłaty rekrutacyjnej.</w:t>
      </w:r>
    </w:p>
    <w:p w:rsidR="00C418DF" w:rsidRPr="00632D99" w:rsidRDefault="00C418DF" w:rsidP="00C418DF">
      <w:pPr>
        <w:pStyle w:val="Akapitzlist1"/>
        <w:spacing w:after="0" w:line="360" w:lineRule="auto"/>
        <w:ind w:left="993"/>
        <w:jc w:val="both"/>
        <w:rPr>
          <w:rFonts w:ascii="Times New Roman" w:hAnsi="Times New Roman"/>
          <w:sz w:val="24"/>
          <w:szCs w:val="24"/>
        </w:rPr>
      </w:pPr>
    </w:p>
    <w:p w:rsidR="00F60E60" w:rsidRPr="00632D99" w:rsidRDefault="00655F9B" w:rsidP="005A3ACF">
      <w:pPr>
        <w:pStyle w:val="Akapitzlist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 xml:space="preserve">Termin dokonania opłaty rekrutacyjnej uważa się za dotrzymany, w przypadku wpływu środków na </w:t>
      </w:r>
      <w:r w:rsidR="00247506" w:rsidRPr="00632D99">
        <w:rPr>
          <w:rFonts w:ascii="Times New Roman" w:hAnsi="Times New Roman"/>
          <w:sz w:val="24"/>
          <w:szCs w:val="24"/>
        </w:rPr>
        <w:t>rachunek bankowy</w:t>
      </w:r>
      <w:r w:rsidRPr="00632D99">
        <w:rPr>
          <w:rFonts w:ascii="Times New Roman" w:hAnsi="Times New Roman"/>
          <w:sz w:val="24"/>
          <w:szCs w:val="24"/>
        </w:rPr>
        <w:t xml:space="preserve"> Uczelni.</w:t>
      </w:r>
    </w:p>
    <w:p w:rsidR="00C418DF" w:rsidRPr="00632D99" w:rsidRDefault="00C418DF" w:rsidP="00C418DF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Wysokość opłaty rekrutacyjnej wnoszonej przez osobę ubiegającą się o przyjęcie na studia w roku akademickim 201</w:t>
      </w:r>
      <w:r w:rsidR="00D947DB" w:rsidRPr="00632D99">
        <w:rPr>
          <w:rFonts w:ascii="Times New Roman" w:hAnsi="Times New Roman"/>
          <w:sz w:val="24"/>
          <w:szCs w:val="24"/>
        </w:rPr>
        <w:t>5</w:t>
      </w:r>
      <w:r w:rsidRPr="00632D99">
        <w:rPr>
          <w:rFonts w:ascii="Times New Roman" w:hAnsi="Times New Roman"/>
          <w:sz w:val="24"/>
          <w:szCs w:val="24"/>
        </w:rPr>
        <w:t>/201</w:t>
      </w:r>
      <w:r w:rsidR="00D947DB" w:rsidRPr="00632D99">
        <w:rPr>
          <w:rFonts w:ascii="Times New Roman" w:hAnsi="Times New Roman"/>
          <w:sz w:val="24"/>
          <w:szCs w:val="24"/>
        </w:rPr>
        <w:t>6</w:t>
      </w:r>
      <w:r w:rsidRPr="00632D99">
        <w:rPr>
          <w:rFonts w:ascii="Times New Roman" w:hAnsi="Times New Roman"/>
          <w:sz w:val="24"/>
          <w:szCs w:val="24"/>
        </w:rPr>
        <w:t xml:space="preserve"> ustala Rektor Uczelni, uwzględniając kalkulację kosztów planowanych do poniesienia w zakresie niezbędnym </w:t>
      </w:r>
      <w:r w:rsidR="00247506" w:rsidRPr="00632D99">
        <w:rPr>
          <w:rFonts w:ascii="Times New Roman" w:hAnsi="Times New Roman"/>
          <w:sz w:val="24"/>
          <w:szCs w:val="24"/>
        </w:rPr>
        <w:br/>
      </w:r>
      <w:r w:rsidRPr="00632D99">
        <w:rPr>
          <w:rFonts w:ascii="Times New Roman" w:hAnsi="Times New Roman"/>
          <w:sz w:val="24"/>
          <w:szCs w:val="24"/>
        </w:rPr>
        <w:t xml:space="preserve">do przeprowadzenia czynności związanych z postępowaniem rekrutacyjnym. Wysokość ustalonej opłaty nie może przekraczać maksymalnej wysokości opłaty </w:t>
      </w:r>
      <w:r w:rsidR="00247506" w:rsidRPr="00632D99">
        <w:rPr>
          <w:rFonts w:ascii="Times New Roman" w:hAnsi="Times New Roman"/>
          <w:sz w:val="24"/>
          <w:szCs w:val="24"/>
        </w:rPr>
        <w:br/>
      </w:r>
      <w:r w:rsidRPr="00632D99">
        <w:rPr>
          <w:rFonts w:ascii="Times New Roman" w:hAnsi="Times New Roman"/>
          <w:sz w:val="24"/>
          <w:szCs w:val="24"/>
        </w:rPr>
        <w:t>za postępowanie związane z przyjęciem na studia w roku akademickim 201</w:t>
      </w:r>
      <w:r w:rsidR="00D947DB" w:rsidRPr="00632D99">
        <w:rPr>
          <w:rFonts w:ascii="Times New Roman" w:hAnsi="Times New Roman"/>
          <w:sz w:val="24"/>
          <w:szCs w:val="24"/>
        </w:rPr>
        <w:t>5</w:t>
      </w:r>
      <w:r w:rsidRPr="00632D99">
        <w:rPr>
          <w:rFonts w:ascii="Times New Roman" w:hAnsi="Times New Roman"/>
          <w:sz w:val="24"/>
          <w:szCs w:val="24"/>
        </w:rPr>
        <w:t>/201</w:t>
      </w:r>
      <w:r w:rsidR="00D947DB" w:rsidRPr="00632D99">
        <w:rPr>
          <w:rFonts w:ascii="Times New Roman" w:hAnsi="Times New Roman"/>
          <w:sz w:val="24"/>
          <w:szCs w:val="24"/>
        </w:rPr>
        <w:t>6</w:t>
      </w:r>
      <w:r w:rsidRPr="00632D99">
        <w:rPr>
          <w:rFonts w:ascii="Times New Roman" w:hAnsi="Times New Roman"/>
          <w:sz w:val="24"/>
          <w:szCs w:val="24"/>
        </w:rPr>
        <w:t>, określonej Rozporządzeniem Ministra Nauki i Szkolnictwa Wyższego.</w:t>
      </w:r>
    </w:p>
    <w:p w:rsidR="00C418DF" w:rsidRPr="00632D99" w:rsidRDefault="00C418DF" w:rsidP="00C418DF">
      <w:pPr>
        <w:pStyle w:val="Akapitzlist"/>
      </w:pPr>
    </w:p>
    <w:p w:rsidR="005A3ACF" w:rsidRPr="00632D99" w:rsidRDefault="005A3ACF" w:rsidP="005A3ACF">
      <w:pPr>
        <w:pStyle w:val="Akapitzlist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W przypadku kandydowania na kilka kierunków, a także różne formy i poziomy kształcenia w ramach kierunków, kandydat wnosi stosowną wielokrotność opłaty rekrutacyjnej. Opłata nie podlega zwrotowi.</w:t>
      </w:r>
    </w:p>
    <w:p w:rsidR="005A3ACF" w:rsidRPr="00632D99" w:rsidRDefault="005A3ACF" w:rsidP="005A3ACF">
      <w:pPr>
        <w:pStyle w:val="Akapitzlist1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W ramach elektronicznej rejestracji kandydaci zobowiązani są do zalogowania się na swoje konto w elektronicznym systemie rekrutacji oraz wprowadzenia wymaganych systemem danych, w tym uzupełnienia wyników egzaminu maturalnego, egzaminu wstępnego lub innych punktów stanowiących podstawę przyjęcia na dany kierunek studiów, w terminie podanym przez Uczelnię.</w:t>
      </w:r>
    </w:p>
    <w:p w:rsidR="00D947DB" w:rsidRPr="00632D99" w:rsidRDefault="00D947DB" w:rsidP="00D947DB">
      <w:pPr>
        <w:pStyle w:val="Akapitzlist"/>
      </w:pPr>
    </w:p>
    <w:p w:rsidR="005A3ACF" w:rsidRPr="00632D99" w:rsidRDefault="005A3ACF" w:rsidP="005A3ACF">
      <w:pPr>
        <w:pStyle w:val="Akapitzlist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 xml:space="preserve">Na podstawie podanych przez kandydatów </w:t>
      </w:r>
      <w:r w:rsidR="00365302" w:rsidRPr="00632D99">
        <w:rPr>
          <w:rFonts w:ascii="Times New Roman" w:hAnsi="Times New Roman"/>
          <w:sz w:val="24"/>
          <w:szCs w:val="24"/>
        </w:rPr>
        <w:t>wyników, o których mowa w ust. 5</w:t>
      </w:r>
      <w:r w:rsidRPr="00632D99">
        <w:rPr>
          <w:rFonts w:ascii="Times New Roman" w:hAnsi="Times New Roman"/>
          <w:sz w:val="24"/>
          <w:szCs w:val="24"/>
        </w:rPr>
        <w:t xml:space="preserve"> zostaną sporządzone listy rankingowe.</w:t>
      </w:r>
    </w:p>
    <w:p w:rsidR="005A3ACF" w:rsidRPr="00632D99" w:rsidRDefault="005A3ACF" w:rsidP="005A3ACF">
      <w:pPr>
        <w:pStyle w:val="Akapitzlist1"/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Kandydaci, którzy nie wprowadzą wyników w wyznaczonym terminie lub dokonają błędnego ich wprowadzenia, nie będą uczestniczyli w dalszym toku postępowania rekrutacyjnego.</w:t>
      </w:r>
    </w:p>
    <w:p w:rsidR="005A3ACF" w:rsidRPr="00632D99" w:rsidRDefault="005A3ACF" w:rsidP="005A3ACF">
      <w:pPr>
        <w:pStyle w:val="Akapitzlist1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0"/>
          <w:numId w:val="30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Wyniki postępowania rekrutacyjnego (pierwsze oraz ewentualne kolejne</w:t>
      </w:r>
      <w:r w:rsidRPr="00632D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32D99">
        <w:rPr>
          <w:rFonts w:ascii="Times New Roman" w:hAnsi="Times New Roman"/>
          <w:sz w:val="24"/>
          <w:szCs w:val="24"/>
        </w:rPr>
        <w:t>listy rankingowe) zostaną podane do wiadomości przez wywieszenie na tablicach ogłoszeń poszczególnych wydziałów oraz będą dostępne po zalogowaniu się przez kandydata na swoje konto w elektronicznym systemie rekrutacji.</w:t>
      </w:r>
    </w:p>
    <w:p w:rsidR="005A3ACF" w:rsidRPr="00632D99" w:rsidRDefault="005A3ACF" w:rsidP="005A3ACF">
      <w:pPr>
        <w:pStyle w:val="Akapitzlist1"/>
        <w:spacing w:before="120"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0"/>
          <w:numId w:val="30"/>
        </w:numPr>
        <w:spacing w:before="120"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 xml:space="preserve">Warunkiem przyjęcia na I rok studiów jest uzyskanie lokaty na liście rankingowej mieszczącej się w limicie przyjęć na dany kierunek i formę studiów oraz złożenie pisemnej deklaracji podjęcia studiów (tzw. wpisu na I rok) na danym kierunku </w:t>
      </w:r>
      <w:r w:rsidR="00C72933" w:rsidRPr="00632D99">
        <w:rPr>
          <w:rFonts w:ascii="Times New Roman" w:hAnsi="Times New Roman"/>
          <w:sz w:val="24"/>
          <w:szCs w:val="24"/>
        </w:rPr>
        <w:br/>
      </w:r>
      <w:r w:rsidRPr="00632D99">
        <w:rPr>
          <w:rFonts w:ascii="Times New Roman" w:hAnsi="Times New Roman"/>
          <w:sz w:val="24"/>
          <w:szCs w:val="24"/>
        </w:rPr>
        <w:t xml:space="preserve">w terminie </w:t>
      </w:r>
      <w:r w:rsidR="00174B22" w:rsidRPr="00632D99">
        <w:rPr>
          <w:rFonts w:ascii="Times New Roman" w:hAnsi="Times New Roman"/>
          <w:sz w:val="24"/>
          <w:szCs w:val="24"/>
        </w:rPr>
        <w:t>wskazanym przez Wydziałową Komisję</w:t>
      </w:r>
      <w:r w:rsidRPr="00632D99">
        <w:rPr>
          <w:rFonts w:ascii="Times New Roman" w:hAnsi="Times New Roman"/>
          <w:sz w:val="24"/>
          <w:szCs w:val="24"/>
        </w:rPr>
        <w:t>, wraz z niżej wymienionymi dokumentami:</w:t>
      </w:r>
    </w:p>
    <w:p w:rsidR="005A3ACF" w:rsidRPr="00632D99" w:rsidRDefault="005A3ACF" w:rsidP="005A3ACF">
      <w:pPr>
        <w:pStyle w:val="Akapitzlist1"/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wydrukowanym i własnoręcznie podpisanym podaniem o przyjęcie na pierwszy rok studiów,</w:t>
      </w:r>
    </w:p>
    <w:p w:rsidR="005A3ACF" w:rsidRPr="00632D99" w:rsidRDefault="005A3ACF" w:rsidP="005A3ACF">
      <w:pPr>
        <w:pStyle w:val="Akapitzlist1"/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dowodem uiszczenia opłaty rekrutacyjnej,</w:t>
      </w:r>
    </w:p>
    <w:p w:rsidR="005A3ACF" w:rsidRPr="00632D99" w:rsidRDefault="005A3ACF" w:rsidP="005A3ACF">
      <w:pPr>
        <w:pStyle w:val="Akapitzlist1"/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wyłącznie oryginałem świadectwa dojrzałości, które zostanie zwrócone kandydatowi po zakończeniu procesu rekrutacji, z zastrzeżeniem § 10,</w:t>
      </w:r>
    </w:p>
    <w:p w:rsidR="005A3ACF" w:rsidRPr="00632D99" w:rsidRDefault="005A3ACF" w:rsidP="005A3ACF">
      <w:pPr>
        <w:pStyle w:val="Akapitzlist1"/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poświadczoną przez uczelnię lub inną instytucję kserokopią dowodu osobistego,</w:t>
      </w:r>
    </w:p>
    <w:p w:rsidR="005A3ACF" w:rsidRPr="00632D99" w:rsidRDefault="005A3ACF" w:rsidP="005A3ACF">
      <w:pPr>
        <w:pStyle w:val="Akapitzlist1"/>
        <w:numPr>
          <w:ilvl w:val="0"/>
          <w:numId w:val="28"/>
        </w:numPr>
        <w:spacing w:after="0" w:line="36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trzema kolorowymi zdjęciami, podpisanymi na odwrocie imieniem i nazwiskiem.</w:t>
      </w:r>
    </w:p>
    <w:p w:rsidR="005A3ACF" w:rsidRPr="00632D99" w:rsidRDefault="005A3ACF" w:rsidP="005A3ACF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lastRenderedPageBreak/>
        <w:t>Kandydaci na studia drugiego stopnia składają dodatkowo oryginał lub odpis dyplomu ukończenia studiów pierwszego stopnia.</w:t>
      </w:r>
    </w:p>
    <w:p w:rsidR="005A3ACF" w:rsidRPr="00632D99" w:rsidRDefault="005A3ACF" w:rsidP="005A3ACF">
      <w:pPr>
        <w:pStyle w:val="Akapitzlist1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C418DF">
      <w:pPr>
        <w:pStyle w:val="Akapitzlist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Kandydaci na studia stacjonarne składają dodatkowo oświadczenie w sprawie spełnienia warunków do podjęcia i kontynuowania studiów bez opłat.</w:t>
      </w:r>
    </w:p>
    <w:p w:rsidR="005A3ACF" w:rsidRPr="00632D99" w:rsidRDefault="005A3ACF" w:rsidP="005A3ACF">
      <w:pPr>
        <w:pStyle w:val="Akapitzlist1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Kandydaci na studia, zobowiązani są do dostarczenia w terminie wskazanym przez  Wydziałową Komisj</w:t>
      </w:r>
      <w:r w:rsidR="00D759DF">
        <w:rPr>
          <w:rFonts w:ascii="Times New Roman" w:hAnsi="Times New Roman"/>
          <w:sz w:val="24"/>
          <w:szCs w:val="24"/>
        </w:rPr>
        <w:t>ę</w:t>
      </w:r>
      <w:r w:rsidRPr="00632D99">
        <w:rPr>
          <w:rFonts w:ascii="Times New Roman" w:hAnsi="Times New Roman"/>
          <w:sz w:val="24"/>
          <w:szCs w:val="24"/>
        </w:rPr>
        <w:t xml:space="preserve"> Rekrutacyjną, zaświadczenia lekarskiego zawierającego orzeczenie o braku przeciwwskazań do podjęcia studiów na wybranym kierunku, wydanego przez lekarza medycyny pracy.</w:t>
      </w:r>
    </w:p>
    <w:p w:rsidR="00D947DB" w:rsidRPr="00632D99" w:rsidRDefault="00D947DB" w:rsidP="00D947DB">
      <w:pPr>
        <w:pStyle w:val="Akapitzlist1"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Wymagane dokumenty należy złożyć osobiście. Dopuszcza się złożenie dokumentów kandydata oraz pisemnej deklaracji podjęcia studiów (tzw. wpisu na I rok) przez osobę posiadającą pełnomocnictwo potwierdzone notarialnie do podejmowania czynności prawnych w imieniu kandydata.</w:t>
      </w:r>
    </w:p>
    <w:p w:rsidR="005A3ACF" w:rsidRPr="00632D99" w:rsidRDefault="005A3ACF" w:rsidP="005A3ACF">
      <w:pPr>
        <w:pStyle w:val="Akapitzlist1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Dokumenty przesłane drogą pocztową nie będą przyjmowane.</w:t>
      </w:r>
    </w:p>
    <w:p w:rsidR="005A3ACF" w:rsidRPr="00632D99" w:rsidRDefault="005A3ACF" w:rsidP="005A3ACF">
      <w:pPr>
        <w:pStyle w:val="Akapitzlist1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425BAE">
      <w:pPr>
        <w:pStyle w:val="Akapitzlist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 xml:space="preserve">Niezłożenie deklaracji oraz dokumentów wymienionych w ust. </w:t>
      </w:r>
      <w:r w:rsidR="009B2C4A" w:rsidRPr="00632D99">
        <w:rPr>
          <w:rFonts w:ascii="Times New Roman" w:hAnsi="Times New Roman"/>
          <w:sz w:val="24"/>
          <w:szCs w:val="24"/>
        </w:rPr>
        <w:t>9</w:t>
      </w:r>
      <w:r w:rsidRPr="00632D99">
        <w:rPr>
          <w:rFonts w:ascii="Times New Roman" w:hAnsi="Times New Roman"/>
          <w:sz w:val="24"/>
          <w:szCs w:val="24"/>
        </w:rPr>
        <w:t xml:space="preserve"> do 12 w terminie wyznaczonym przez Uczelnię jest równoznaczne z rezygnacją podjęcia studiów </w:t>
      </w:r>
      <w:r w:rsidR="00C72933" w:rsidRPr="00632D99">
        <w:rPr>
          <w:rFonts w:ascii="Times New Roman" w:hAnsi="Times New Roman"/>
          <w:sz w:val="24"/>
          <w:szCs w:val="24"/>
        </w:rPr>
        <w:br/>
      </w:r>
      <w:r w:rsidRPr="00632D99">
        <w:rPr>
          <w:rFonts w:ascii="Times New Roman" w:hAnsi="Times New Roman"/>
          <w:sz w:val="24"/>
          <w:szCs w:val="24"/>
        </w:rPr>
        <w:t>i powoduje skreślenie z listy rankingowej.</w:t>
      </w:r>
    </w:p>
    <w:p w:rsidR="005A3ACF" w:rsidRPr="00632D99" w:rsidRDefault="005A3ACF" w:rsidP="005A3ACF">
      <w:pPr>
        <w:pStyle w:val="Akapitzlist1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pStyle w:val="Akapitzlist1"/>
        <w:numPr>
          <w:ilvl w:val="0"/>
          <w:numId w:val="30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Ujawnienie rozbieżności pomiędzy treścią dokumentów, a danymi przekazanymi drogą elektroniczną spowoduje skreślenie kandydata z listy zakwalifikowanych na studia.</w:t>
      </w:r>
    </w:p>
    <w:p w:rsidR="005A3ACF" w:rsidRPr="00632D99" w:rsidRDefault="005A3ACF" w:rsidP="005A3ACF">
      <w:pPr>
        <w:jc w:val="center"/>
        <w:rPr>
          <w:b/>
        </w:rPr>
      </w:pPr>
      <w:r w:rsidRPr="00632D99">
        <w:rPr>
          <w:b/>
        </w:rPr>
        <w:t>§ 10</w:t>
      </w:r>
    </w:p>
    <w:p w:rsidR="005A3ACF" w:rsidRPr="00632D99" w:rsidRDefault="005A3ACF" w:rsidP="005A3ACF">
      <w:pPr>
        <w:pStyle w:val="Akapitzlist1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A3ACF" w:rsidRDefault="005A3ACF" w:rsidP="005A3ACF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Osoby, które w roku 201</w:t>
      </w:r>
      <w:r w:rsidR="009B2C4A" w:rsidRPr="00632D99">
        <w:rPr>
          <w:rFonts w:ascii="Times New Roman" w:hAnsi="Times New Roman"/>
          <w:sz w:val="24"/>
          <w:szCs w:val="24"/>
        </w:rPr>
        <w:t>5</w:t>
      </w:r>
      <w:r w:rsidRPr="00632D99">
        <w:rPr>
          <w:rFonts w:ascii="Times New Roman" w:hAnsi="Times New Roman"/>
          <w:sz w:val="24"/>
          <w:szCs w:val="24"/>
        </w:rPr>
        <w:t xml:space="preserve"> przystąpiły do matury międzynarodowej (IB) lub matury europejskiej (EB) składają w wyznaczonym przez Uczelnię terminie, wystawione przez</w:t>
      </w:r>
      <w:r w:rsidR="006E752C" w:rsidRPr="00632D99">
        <w:rPr>
          <w:rFonts w:ascii="Times New Roman" w:hAnsi="Times New Roman"/>
          <w:sz w:val="24"/>
          <w:szCs w:val="24"/>
        </w:rPr>
        <w:t xml:space="preserve"> dyrekcję szkoły zaświadczenie </w:t>
      </w:r>
      <w:r w:rsidRPr="00632D99">
        <w:rPr>
          <w:rFonts w:ascii="Times New Roman" w:hAnsi="Times New Roman"/>
          <w:sz w:val="24"/>
          <w:szCs w:val="24"/>
        </w:rPr>
        <w:t>o przystąpieniu do egzaminu dojrzałości matury międzynarodowej oraz oświadczenie, że przyjmują do wiadomości warunkowe dopuszczenie do postępowania rekrutacyjnego i w przypadku braku pozytywnego wyniku egzaminu dojrzałości lub nieprzedstawienia uczelni oryginału świadectwa dojrzałości do dnia 31 sierpnia 201</w:t>
      </w:r>
      <w:r w:rsidR="009B2C4A" w:rsidRPr="00632D99">
        <w:rPr>
          <w:rFonts w:ascii="Times New Roman" w:hAnsi="Times New Roman"/>
          <w:sz w:val="24"/>
          <w:szCs w:val="24"/>
        </w:rPr>
        <w:t>5</w:t>
      </w:r>
      <w:r w:rsidRPr="00632D99">
        <w:rPr>
          <w:rFonts w:ascii="Times New Roman" w:hAnsi="Times New Roman"/>
          <w:sz w:val="24"/>
          <w:szCs w:val="24"/>
        </w:rPr>
        <w:t xml:space="preserve"> roku, wynik kwa</w:t>
      </w:r>
      <w:bookmarkStart w:id="0" w:name="_GoBack"/>
      <w:bookmarkEnd w:id="0"/>
      <w:r w:rsidRPr="00632D99">
        <w:rPr>
          <w:rFonts w:ascii="Times New Roman" w:hAnsi="Times New Roman"/>
          <w:sz w:val="24"/>
          <w:szCs w:val="24"/>
        </w:rPr>
        <w:t>lifikacji zostanie unieważniony a nazwisko kandydata zostanie skreślone z list kwalifikujących przyjęcie na studia.</w:t>
      </w:r>
    </w:p>
    <w:p w:rsidR="00D046A9" w:rsidRPr="00632D99" w:rsidRDefault="00D046A9" w:rsidP="005A3ACF">
      <w:pPr>
        <w:pStyle w:val="Akapitzlist1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A3ACF" w:rsidRPr="00632D99" w:rsidRDefault="005A3ACF" w:rsidP="005A3ACF">
      <w:pPr>
        <w:jc w:val="center"/>
        <w:rPr>
          <w:b/>
        </w:rPr>
      </w:pPr>
    </w:p>
    <w:p w:rsidR="005A3ACF" w:rsidRPr="00632D99" w:rsidRDefault="005A3ACF" w:rsidP="005A3ACF">
      <w:pPr>
        <w:jc w:val="center"/>
        <w:rPr>
          <w:b/>
        </w:rPr>
      </w:pPr>
      <w:r w:rsidRPr="00632D99">
        <w:rPr>
          <w:b/>
        </w:rPr>
        <w:lastRenderedPageBreak/>
        <w:t>§ 11</w:t>
      </w:r>
    </w:p>
    <w:p w:rsidR="005A3ACF" w:rsidRPr="00632D99" w:rsidRDefault="005A3ACF" w:rsidP="005A3ACF">
      <w:pPr>
        <w:jc w:val="center"/>
        <w:rPr>
          <w:b/>
        </w:rPr>
      </w:pPr>
    </w:p>
    <w:p w:rsidR="005A3ACF" w:rsidRPr="00632D99" w:rsidRDefault="005A3ACF" w:rsidP="00DA0F96">
      <w:pPr>
        <w:numPr>
          <w:ilvl w:val="0"/>
          <w:numId w:val="25"/>
        </w:numPr>
        <w:tabs>
          <w:tab w:val="clear" w:pos="1789"/>
          <w:tab w:val="num" w:pos="426"/>
        </w:tabs>
        <w:spacing w:after="240" w:line="360" w:lineRule="auto"/>
        <w:ind w:left="426" w:hanging="426"/>
        <w:jc w:val="both"/>
      </w:pPr>
      <w:r w:rsidRPr="00632D99">
        <w:t xml:space="preserve">Z pominięciem postępowania kwalifikacyjnego, przyjmowani będą w ramach limitu laureaci i finaliści </w:t>
      </w:r>
      <w:r w:rsidR="004772A7" w:rsidRPr="00632D99">
        <w:t xml:space="preserve">przedmiotowych </w:t>
      </w:r>
      <w:r w:rsidRPr="00632D99">
        <w:t xml:space="preserve">Olimpiad Stopnia Centralnego </w:t>
      </w:r>
      <w:r w:rsidR="000D1F31" w:rsidRPr="00632D99">
        <w:t xml:space="preserve">i Olimpiad Międzynarodowych </w:t>
      </w:r>
      <w:r w:rsidRPr="00632D99">
        <w:t>w zakresie: biologii, chemii</w:t>
      </w:r>
      <w:r w:rsidR="000D1F31" w:rsidRPr="00632D99">
        <w:t>,</w:t>
      </w:r>
      <w:r w:rsidRPr="00632D99">
        <w:t xml:space="preserve"> </w:t>
      </w:r>
      <w:r w:rsidR="000D1F31" w:rsidRPr="00632D99">
        <w:t>fizyki oraz matematyki</w:t>
      </w:r>
      <w:r w:rsidRPr="00632D99">
        <w:t xml:space="preserve"> odpowiednio na Wydziały Lekarskie, Oddział Lekarsko-Dentystyczny, Wydział Farmaceutyczny</w:t>
      </w:r>
      <w:r w:rsidR="00632D99" w:rsidRPr="00632D99">
        <w:t xml:space="preserve"> </w:t>
      </w:r>
      <w:r w:rsidR="003A57DB">
        <w:br/>
      </w:r>
      <w:r w:rsidRPr="00632D99">
        <w:t>z Oddziałem Medycyny Laboratoryjnej, Wydział Nauk o Zdrowiu oraz Wydział Zdrowia Publicznego.</w:t>
      </w:r>
    </w:p>
    <w:p w:rsidR="005A3ACF" w:rsidRPr="00632D99" w:rsidRDefault="005A3ACF" w:rsidP="00DA0F96">
      <w:pPr>
        <w:numPr>
          <w:ilvl w:val="0"/>
          <w:numId w:val="25"/>
        </w:numPr>
        <w:tabs>
          <w:tab w:val="clear" w:pos="1789"/>
          <w:tab w:val="num" w:pos="426"/>
        </w:tabs>
        <w:spacing w:after="240" w:line="360" w:lineRule="auto"/>
        <w:ind w:left="426" w:hanging="426"/>
        <w:jc w:val="both"/>
      </w:pPr>
      <w:r w:rsidRPr="00632D99">
        <w:t>Laureatom uprawnienie, o którym mowa w ust. 1 przysługuje w okresie 3 lat od uzyskania świadectwa maturalnego.</w:t>
      </w:r>
    </w:p>
    <w:p w:rsidR="005A3ACF" w:rsidRPr="00632D99" w:rsidRDefault="005A3ACF" w:rsidP="00DA0F96">
      <w:pPr>
        <w:numPr>
          <w:ilvl w:val="0"/>
          <w:numId w:val="25"/>
        </w:numPr>
        <w:tabs>
          <w:tab w:val="clear" w:pos="1789"/>
          <w:tab w:val="num" w:pos="426"/>
        </w:tabs>
        <w:spacing w:line="360" w:lineRule="auto"/>
        <w:ind w:left="426" w:hanging="426"/>
        <w:jc w:val="both"/>
      </w:pPr>
      <w:r w:rsidRPr="00632D99">
        <w:t>Finalistom uprawnienie, o którym mowa w ust. 1 przysługuje w roku uzyskania świadectwa maturalnego.</w:t>
      </w:r>
    </w:p>
    <w:p w:rsidR="005A3ACF" w:rsidRPr="00632D99" w:rsidRDefault="005A3ACF" w:rsidP="00DA0F96">
      <w:pPr>
        <w:tabs>
          <w:tab w:val="num" w:pos="426"/>
        </w:tabs>
        <w:ind w:left="426" w:hanging="426"/>
        <w:jc w:val="both"/>
      </w:pPr>
    </w:p>
    <w:p w:rsidR="005A3ACF" w:rsidRPr="00632D99" w:rsidRDefault="005A3ACF" w:rsidP="00DA0F96">
      <w:pPr>
        <w:numPr>
          <w:ilvl w:val="0"/>
          <w:numId w:val="25"/>
        </w:numPr>
        <w:tabs>
          <w:tab w:val="clear" w:pos="1789"/>
          <w:tab w:val="num" w:pos="426"/>
        </w:tabs>
        <w:spacing w:after="240" w:line="360" w:lineRule="auto"/>
        <w:ind w:left="426" w:hanging="426"/>
        <w:jc w:val="both"/>
      </w:pPr>
      <w:r w:rsidRPr="00632D99">
        <w:t>Laureaci i finaliści korzystają z uprawnień określonych w ust. 1 na podstawie zaświadczenia wydanego przez Komitet Główny Olimpiady zgodnie z obowiązującymi przepisami.</w:t>
      </w:r>
    </w:p>
    <w:p w:rsidR="000D1F31" w:rsidRPr="00632D99" w:rsidRDefault="000D1F31" w:rsidP="00DA0F96">
      <w:pPr>
        <w:numPr>
          <w:ilvl w:val="0"/>
          <w:numId w:val="25"/>
        </w:numPr>
        <w:tabs>
          <w:tab w:val="clear" w:pos="1789"/>
          <w:tab w:val="num" w:pos="426"/>
        </w:tabs>
        <w:spacing w:line="360" w:lineRule="auto"/>
        <w:ind w:left="426" w:hanging="426"/>
        <w:jc w:val="both"/>
      </w:pPr>
      <w:r w:rsidRPr="00632D99">
        <w:t>Laurea</w:t>
      </w:r>
      <w:r w:rsidR="00991CD3" w:rsidRPr="00632D99">
        <w:t>tom</w:t>
      </w:r>
      <w:r w:rsidRPr="00632D99">
        <w:t xml:space="preserve"> i finali</w:t>
      </w:r>
      <w:r w:rsidR="00991CD3" w:rsidRPr="00632D99">
        <w:t>stom</w:t>
      </w:r>
      <w:r w:rsidRPr="00632D99">
        <w:t xml:space="preserve"> </w:t>
      </w:r>
      <w:r w:rsidR="004772A7" w:rsidRPr="00632D99">
        <w:t xml:space="preserve">olimpiad zawodowych, </w:t>
      </w:r>
      <w:r w:rsidR="002C216C" w:rsidRPr="00632D99">
        <w:t>interdyscyplinarnych</w:t>
      </w:r>
      <w:r w:rsidR="004772A7" w:rsidRPr="00632D99">
        <w:t xml:space="preserve"> i tematycznych</w:t>
      </w:r>
      <w:r w:rsidR="002C216C" w:rsidRPr="00632D99">
        <w:t xml:space="preserve"> stopnia centralnego</w:t>
      </w:r>
      <w:r w:rsidR="00991CD3" w:rsidRPr="00632D99">
        <w:t xml:space="preserve"> zostanie przyznana maksymalna liczba punktów przewidziana </w:t>
      </w:r>
      <w:r w:rsidR="003A57DB">
        <w:br/>
      </w:r>
      <w:r w:rsidR="00991CD3" w:rsidRPr="00632D99">
        <w:t>w postępowan</w:t>
      </w:r>
      <w:r w:rsidR="00620CC6" w:rsidRPr="00632D99">
        <w:t>iu kwalifikacyjnym z przedmiotu, zgodnie z niżej wymienionymi zasadami:</w:t>
      </w:r>
    </w:p>
    <w:p w:rsidR="00620CC6" w:rsidRPr="00632D99" w:rsidRDefault="00620CC6" w:rsidP="00DA0F96">
      <w:pPr>
        <w:numPr>
          <w:ilvl w:val="0"/>
          <w:numId w:val="31"/>
        </w:numPr>
        <w:spacing w:line="360" w:lineRule="auto"/>
        <w:ind w:hanging="643"/>
        <w:jc w:val="both"/>
      </w:pPr>
      <w:r w:rsidRPr="00632D99">
        <w:t>Olimpiady Wiedzy o Żywieniu i Żywności – z biologii,</w:t>
      </w:r>
    </w:p>
    <w:p w:rsidR="00620CC6" w:rsidRPr="00632D99" w:rsidRDefault="00620CC6" w:rsidP="00DA0F96">
      <w:pPr>
        <w:numPr>
          <w:ilvl w:val="0"/>
          <w:numId w:val="31"/>
        </w:numPr>
        <w:spacing w:line="360" w:lineRule="auto"/>
        <w:ind w:hanging="643"/>
        <w:jc w:val="both"/>
      </w:pPr>
      <w:r w:rsidRPr="00632D99">
        <w:t>Olimpiady Wiedzy Ekologicznej – z biologii,</w:t>
      </w:r>
    </w:p>
    <w:p w:rsidR="00620CC6" w:rsidRPr="00632D99" w:rsidRDefault="00620CC6" w:rsidP="00DA0F96">
      <w:pPr>
        <w:numPr>
          <w:ilvl w:val="0"/>
          <w:numId w:val="31"/>
        </w:numPr>
        <w:spacing w:line="360" w:lineRule="auto"/>
        <w:ind w:hanging="643"/>
        <w:jc w:val="both"/>
      </w:pPr>
      <w:r w:rsidRPr="00632D99">
        <w:t xml:space="preserve">Olimpiady </w:t>
      </w:r>
      <w:r w:rsidR="001F1E11" w:rsidRPr="00632D99">
        <w:t>z Astronomii i Astrofizyki – z fizyki,</w:t>
      </w:r>
    </w:p>
    <w:p w:rsidR="001F1E11" w:rsidRPr="00632D99" w:rsidRDefault="001F1E11" w:rsidP="00DA0F96">
      <w:pPr>
        <w:numPr>
          <w:ilvl w:val="0"/>
          <w:numId w:val="31"/>
        </w:numPr>
        <w:spacing w:line="360" w:lineRule="auto"/>
        <w:ind w:hanging="643"/>
        <w:jc w:val="both"/>
      </w:pPr>
      <w:r w:rsidRPr="00632D99">
        <w:t>Olimpiady Lingwistyki Matematycznej – z matematyki,</w:t>
      </w:r>
    </w:p>
    <w:p w:rsidR="001F1E11" w:rsidRPr="00632D99" w:rsidRDefault="001F1E11" w:rsidP="00DA0F96">
      <w:pPr>
        <w:numPr>
          <w:ilvl w:val="0"/>
          <w:numId w:val="31"/>
        </w:numPr>
        <w:spacing w:line="360" w:lineRule="auto"/>
        <w:ind w:hanging="643"/>
        <w:jc w:val="both"/>
      </w:pPr>
      <w:r w:rsidRPr="00632D99">
        <w:t>Olimpiady Wiedzy Technicznej – z matematyki,</w:t>
      </w:r>
    </w:p>
    <w:p w:rsidR="001F1E11" w:rsidRPr="00632D99" w:rsidRDefault="001F1E11" w:rsidP="00DA0F96">
      <w:pPr>
        <w:numPr>
          <w:ilvl w:val="0"/>
          <w:numId w:val="31"/>
        </w:numPr>
        <w:spacing w:after="240" w:line="360" w:lineRule="auto"/>
        <w:ind w:hanging="643"/>
        <w:jc w:val="both"/>
      </w:pPr>
      <w:r w:rsidRPr="00632D99">
        <w:t xml:space="preserve">Olimpiady Wiedzy Elektrycznej i Elektronicznej – z matematyki. </w:t>
      </w:r>
    </w:p>
    <w:p w:rsidR="00EC7DA4" w:rsidRPr="00632D99" w:rsidRDefault="00EC7DA4" w:rsidP="00DA0F96">
      <w:pPr>
        <w:numPr>
          <w:ilvl w:val="0"/>
          <w:numId w:val="25"/>
        </w:numPr>
        <w:tabs>
          <w:tab w:val="clear" w:pos="1789"/>
          <w:tab w:val="num" w:pos="426"/>
        </w:tabs>
        <w:spacing w:after="240" w:line="360" w:lineRule="auto"/>
        <w:ind w:left="426" w:hanging="426"/>
        <w:jc w:val="both"/>
      </w:pPr>
      <w:r w:rsidRPr="00632D99">
        <w:t xml:space="preserve">Laureaci i finaliści korzystają z uprawnień określonych w ust. 5 na </w:t>
      </w:r>
      <w:r w:rsidR="004772A7" w:rsidRPr="00632D99">
        <w:t xml:space="preserve">zasadach  określonych </w:t>
      </w:r>
      <w:r w:rsidR="008E546C" w:rsidRPr="00632D99">
        <w:t xml:space="preserve">w ust. 2 i </w:t>
      </w:r>
      <w:r w:rsidR="004772A7" w:rsidRPr="00632D99">
        <w:t>3, na podstawie zaświadczenia wydanego przez uprawniony organ.</w:t>
      </w:r>
    </w:p>
    <w:p w:rsidR="005A3ACF" w:rsidRPr="00632D99" w:rsidRDefault="005A3ACF" w:rsidP="00DA0F96">
      <w:pPr>
        <w:numPr>
          <w:ilvl w:val="0"/>
          <w:numId w:val="25"/>
        </w:numPr>
        <w:tabs>
          <w:tab w:val="clear" w:pos="1789"/>
          <w:tab w:val="num" w:pos="426"/>
        </w:tabs>
        <w:spacing w:after="240" w:line="360" w:lineRule="auto"/>
        <w:ind w:left="426" w:hanging="426"/>
        <w:jc w:val="both"/>
      </w:pPr>
      <w:r w:rsidRPr="00632D99">
        <w:t xml:space="preserve">W postępowaniu rekrutacyjnym na jednolite studia magisterskie oraz studia pierwszego stopnia kandydatowi, który otrzyma tytuł laureata w ogólnopolskim konkursie organizowanym przez SUM w ramach Uniwersytetu Licealisty, do przeliczonej liczby punktów zgodnie z zasadami określonymi dla danego kierunku studiów w Załączniku </w:t>
      </w:r>
      <w:r w:rsidR="003A57DB">
        <w:br/>
      </w:r>
      <w:r w:rsidRPr="00632D99">
        <w:t xml:space="preserve">Nr 2 do Uchwały, dodaje się liczbę maksymalnie 10 punktów.  </w:t>
      </w:r>
    </w:p>
    <w:p w:rsidR="005A3ACF" w:rsidRPr="00632D99" w:rsidRDefault="005A3ACF" w:rsidP="00DA0F96">
      <w:pPr>
        <w:numPr>
          <w:ilvl w:val="0"/>
          <w:numId w:val="25"/>
        </w:numPr>
        <w:tabs>
          <w:tab w:val="clear" w:pos="1789"/>
          <w:tab w:val="num" w:pos="426"/>
        </w:tabs>
        <w:spacing w:after="240" w:line="360" w:lineRule="auto"/>
        <w:ind w:left="426" w:hanging="426"/>
        <w:jc w:val="both"/>
      </w:pPr>
      <w:r w:rsidRPr="00632D99">
        <w:lastRenderedPageBreak/>
        <w:t xml:space="preserve">Uprawnienie kandydata, o którym mowa w ust. </w:t>
      </w:r>
      <w:r w:rsidR="00D34D2F" w:rsidRPr="00632D99">
        <w:t xml:space="preserve">7 </w:t>
      </w:r>
      <w:r w:rsidRPr="00632D99">
        <w:t xml:space="preserve">przysługuje w okresie dwóch lat </w:t>
      </w:r>
      <w:r w:rsidR="003A57DB">
        <w:br/>
      </w:r>
      <w:r w:rsidRPr="00632D99">
        <w:t xml:space="preserve">od uzyskania </w:t>
      </w:r>
      <w:r w:rsidR="00D34D2F" w:rsidRPr="00632D99">
        <w:t>świadectwa maturalnego</w:t>
      </w:r>
      <w:r w:rsidRPr="00632D99">
        <w:t xml:space="preserve">. </w:t>
      </w:r>
    </w:p>
    <w:p w:rsidR="005A3ACF" w:rsidRPr="00632D99" w:rsidRDefault="005A3ACF" w:rsidP="00DA0F96">
      <w:pPr>
        <w:numPr>
          <w:ilvl w:val="0"/>
          <w:numId w:val="25"/>
        </w:numPr>
        <w:tabs>
          <w:tab w:val="clear" w:pos="1789"/>
          <w:tab w:val="num" w:pos="426"/>
        </w:tabs>
        <w:spacing w:after="240" w:line="360" w:lineRule="auto"/>
        <w:ind w:left="426" w:hanging="426"/>
        <w:jc w:val="both"/>
      </w:pPr>
      <w:r w:rsidRPr="00632D99">
        <w:t>Kwalifikacja kandydatów którym w ramach postępowania rekrutacyjnego uwzględnia się osiągnięcia</w:t>
      </w:r>
      <w:r w:rsidRPr="00632D99">
        <w:rPr>
          <w:rFonts w:ascii="Verdana" w:hAnsi="Verdana" w:cs="Arial"/>
        </w:rPr>
        <w:t xml:space="preserve">, </w:t>
      </w:r>
      <w:r w:rsidRPr="00632D99">
        <w:t>o których mowa w ust. 1</w:t>
      </w:r>
      <w:r w:rsidR="008E546C" w:rsidRPr="00632D99">
        <w:t>,</w:t>
      </w:r>
      <w:r w:rsidRPr="00632D99">
        <w:t xml:space="preserve"> 5</w:t>
      </w:r>
      <w:r w:rsidR="008E546C" w:rsidRPr="00632D99">
        <w:t xml:space="preserve"> i 7</w:t>
      </w:r>
      <w:r w:rsidRPr="00632D99">
        <w:t xml:space="preserve"> następuje w ramach obowiązujących </w:t>
      </w:r>
      <w:r w:rsidRPr="00632D99">
        <w:br/>
        <w:t xml:space="preserve">w Uczelni limitów przyjęć na studia. </w:t>
      </w:r>
    </w:p>
    <w:p w:rsidR="005A3ACF" w:rsidRPr="00632D99" w:rsidRDefault="005A3ACF" w:rsidP="00DA0F96">
      <w:pPr>
        <w:numPr>
          <w:ilvl w:val="0"/>
          <w:numId w:val="25"/>
        </w:numPr>
        <w:tabs>
          <w:tab w:val="clear" w:pos="1789"/>
          <w:tab w:val="num" w:pos="426"/>
        </w:tabs>
        <w:autoSpaceDE w:val="0"/>
        <w:autoSpaceDN w:val="0"/>
        <w:adjustRightInd w:val="0"/>
        <w:spacing w:after="240" w:line="360" w:lineRule="auto"/>
        <w:ind w:left="426" w:hanging="426"/>
        <w:jc w:val="both"/>
      </w:pPr>
      <w:r w:rsidRPr="00632D99">
        <w:t xml:space="preserve">Kandydaci na pierwszy rok studiów, o których mowa w ust. 1 i 5 niezależnie </w:t>
      </w:r>
      <w:r w:rsidR="003A57DB">
        <w:br/>
      </w:r>
      <w:r w:rsidRPr="00632D99">
        <w:t>od uwzględnienia osiągnięć ustanowionych niniejszą uchwałą, muszą spełnić wszystkie inne warunki formalne określone w zasadach rekrutacji na studia w SUM.</w:t>
      </w:r>
    </w:p>
    <w:p w:rsidR="005A3ACF" w:rsidRPr="00632D99" w:rsidRDefault="005A3ACF" w:rsidP="005A3ACF">
      <w:pPr>
        <w:jc w:val="center"/>
        <w:rPr>
          <w:b/>
        </w:rPr>
      </w:pPr>
      <w:r w:rsidRPr="00632D99">
        <w:rPr>
          <w:b/>
        </w:rPr>
        <w:t>§ 12</w:t>
      </w:r>
    </w:p>
    <w:p w:rsidR="005A3ACF" w:rsidRPr="00632D99" w:rsidRDefault="005A3ACF" w:rsidP="005A3ACF">
      <w:pPr>
        <w:jc w:val="center"/>
        <w:rPr>
          <w:b/>
        </w:rPr>
      </w:pPr>
    </w:p>
    <w:p w:rsidR="005A3ACF" w:rsidRPr="00632D99" w:rsidRDefault="005A3ACF" w:rsidP="005A3ACF">
      <w:pPr>
        <w:spacing w:line="360" w:lineRule="auto"/>
        <w:jc w:val="both"/>
      </w:pPr>
      <w:r w:rsidRPr="00632D99">
        <w:t xml:space="preserve">Wszystkie informacje związane z przebiegiem postępowania rekrutacyjnego (w tym terminy rekrutacji) będą umieszczane na stronie internetowej Uczelni (www.sum.edu.pl). Kandydaci zobowiązani są do zapoznawania się na bieżąco z informacjami podawanymi przez Uczelnię, pod rygorem negatywnych skutków dla kandydata. </w:t>
      </w:r>
    </w:p>
    <w:p w:rsidR="005A3ACF" w:rsidRPr="00632D99" w:rsidRDefault="005A3ACF" w:rsidP="005A3ACF">
      <w:pPr>
        <w:jc w:val="center"/>
        <w:rPr>
          <w:b/>
        </w:rPr>
      </w:pPr>
      <w:r w:rsidRPr="00632D99">
        <w:rPr>
          <w:b/>
        </w:rPr>
        <w:t>§ 13</w:t>
      </w:r>
    </w:p>
    <w:p w:rsidR="005A3ACF" w:rsidRPr="00632D99" w:rsidRDefault="005A3ACF" w:rsidP="005A3ACF"/>
    <w:p w:rsidR="005A3ACF" w:rsidRPr="00632D99" w:rsidRDefault="005A3ACF" w:rsidP="00632D99">
      <w:pPr>
        <w:pStyle w:val="Akapitzlist1"/>
        <w:numPr>
          <w:ilvl w:val="3"/>
          <w:numId w:val="24"/>
        </w:numPr>
        <w:spacing w:after="24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632D99">
        <w:rPr>
          <w:rFonts w:ascii="Times New Roman" w:hAnsi="Times New Roman"/>
          <w:sz w:val="24"/>
          <w:szCs w:val="24"/>
        </w:rPr>
        <w:t>W przypadku niewyczerpania limitu miejsc na danym kierunku w związku z brakiem wystarczającej liczby kandydatów, Uczelnia zastrzega sobie prawo przeprowadzenia dodatkowej</w:t>
      </w:r>
      <w:r w:rsidRPr="00632D9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632D99">
        <w:rPr>
          <w:rFonts w:ascii="Times New Roman" w:hAnsi="Times New Roman"/>
          <w:sz w:val="24"/>
          <w:szCs w:val="24"/>
        </w:rPr>
        <w:t>rekrutacji na podstawie decyzji Rektora.</w:t>
      </w:r>
    </w:p>
    <w:p w:rsidR="005A3ACF" w:rsidRPr="00632D99" w:rsidRDefault="005A3ACF" w:rsidP="00632D99">
      <w:pPr>
        <w:numPr>
          <w:ilvl w:val="3"/>
          <w:numId w:val="24"/>
        </w:numPr>
        <w:spacing w:line="360" w:lineRule="auto"/>
        <w:ind w:left="426" w:hanging="426"/>
        <w:jc w:val="both"/>
      </w:pPr>
      <w:r w:rsidRPr="00632D99">
        <w:t>Uczelnia zastrzega sobie prawo do nieuruchomienia kierunku studiów w przypadku gdy liczba osób przyjętych na dany kierunek będzie mniejsza niż 20 osób.</w:t>
      </w:r>
    </w:p>
    <w:p w:rsidR="005A3ACF" w:rsidRPr="00632D99" w:rsidRDefault="005A3ACF" w:rsidP="005A3ACF">
      <w:pPr>
        <w:ind w:left="709" w:hanging="349"/>
        <w:jc w:val="both"/>
      </w:pPr>
    </w:p>
    <w:p w:rsidR="005A3ACF" w:rsidRPr="00632D99" w:rsidRDefault="005A3ACF" w:rsidP="005A3ACF">
      <w:pPr>
        <w:jc w:val="center"/>
        <w:rPr>
          <w:b/>
        </w:rPr>
      </w:pPr>
      <w:r w:rsidRPr="00632D99">
        <w:rPr>
          <w:b/>
        </w:rPr>
        <w:t>§ 14</w:t>
      </w:r>
    </w:p>
    <w:p w:rsidR="005A3ACF" w:rsidRPr="00632D99" w:rsidRDefault="005A3ACF" w:rsidP="005A3ACF"/>
    <w:p w:rsidR="005A3ACF" w:rsidRPr="00632D99" w:rsidRDefault="005A3ACF" w:rsidP="005A3ACF">
      <w:pPr>
        <w:spacing w:line="360" w:lineRule="auto"/>
        <w:jc w:val="both"/>
      </w:pPr>
      <w:r w:rsidRPr="00632D99">
        <w:t>Szczegółowe kryteria przyjęć i zakres egzaminów wstępnych na poszczególnych kierunkach zawiera Załącznik Nr 2 do uchwały.</w:t>
      </w:r>
    </w:p>
    <w:p w:rsidR="005A3ACF" w:rsidRPr="00632D99" w:rsidRDefault="005A3ACF" w:rsidP="005A3ACF"/>
    <w:p w:rsidR="007072D5" w:rsidRPr="00632D99" w:rsidRDefault="007072D5" w:rsidP="005A3ACF"/>
    <w:sectPr w:rsidR="007072D5" w:rsidRPr="00632D99" w:rsidSect="00F15C90">
      <w:footerReference w:type="default" r:id="rId8"/>
      <w:pgSz w:w="11906" w:h="16838"/>
      <w:pgMar w:top="1417" w:right="1417" w:bottom="125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E22AC" w:rsidRDefault="000E22AC" w:rsidP="000E22AC">
      <w:r>
        <w:separator/>
      </w:r>
    </w:p>
  </w:endnote>
  <w:endnote w:type="continuationSeparator" w:id="0">
    <w:p w:rsidR="000E22AC" w:rsidRDefault="000E22AC" w:rsidP="000E2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4621479"/>
      <w:docPartObj>
        <w:docPartGallery w:val="Page Numbers (Bottom of Page)"/>
        <w:docPartUnique/>
      </w:docPartObj>
    </w:sdtPr>
    <w:sdtEndPr/>
    <w:sdtContent>
      <w:p w:rsidR="000E22AC" w:rsidRDefault="000E22A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46A9">
          <w:rPr>
            <w:noProof/>
          </w:rPr>
          <w:t>11</w:t>
        </w:r>
        <w:r>
          <w:fldChar w:fldCharType="end"/>
        </w:r>
      </w:p>
    </w:sdtContent>
  </w:sdt>
  <w:p w:rsidR="000E22AC" w:rsidRDefault="000E22A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E22AC" w:rsidRDefault="000E22AC" w:rsidP="000E22AC">
      <w:r>
        <w:separator/>
      </w:r>
    </w:p>
  </w:footnote>
  <w:footnote w:type="continuationSeparator" w:id="0">
    <w:p w:rsidR="000E22AC" w:rsidRDefault="000E22AC" w:rsidP="000E22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97E00"/>
    <w:multiLevelType w:val="hybridMultilevel"/>
    <w:tmpl w:val="A4E0B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CD03F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8A4AF2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208037EC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3DA6E2F"/>
    <w:multiLevelType w:val="hybridMultilevel"/>
    <w:tmpl w:val="99DACC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321CC7"/>
    <w:multiLevelType w:val="hybridMultilevel"/>
    <w:tmpl w:val="477A687A"/>
    <w:lvl w:ilvl="0" w:tplc="4CD03F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>
    <w:nsid w:val="09A23B72"/>
    <w:multiLevelType w:val="hybridMultilevel"/>
    <w:tmpl w:val="0D24A244"/>
    <w:lvl w:ilvl="0" w:tplc="E9946FC2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4CD03F8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09E53613"/>
    <w:multiLevelType w:val="hybridMultilevel"/>
    <w:tmpl w:val="AA04FBF2"/>
    <w:lvl w:ilvl="0" w:tplc="A494402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8153ED"/>
    <w:multiLevelType w:val="hybridMultilevel"/>
    <w:tmpl w:val="C6C628B6"/>
    <w:lvl w:ilvl="0" w:tplc="4CD03F82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6">
    <w:nsid w:val="12643D46"/>
    <w:multiLevelType w:val="hybridMultilevel"/>
    <w:tmpl w:val="C29A457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45A0A8E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3332FFA"/>
    <w:multiLevelType w:val="hybridMultilevel"/>
    <w:tmpl w:val="9DCC1298"/>
    <w:lvl w:ilvl="0" w:tplc="43EC454A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8">
    <w:nsid w:val="17072B8E"/>
    <w:multiLevelType w:val="hybridMultilevel"/>
    <w:tmpl w:val="55C287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B594CF0"/>
    <w:multiLevelType w:val="hybridMultilevel"/>
    <w:tmpl w:val="30046D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1E2A5F08"/>
    <w:multiLevelType w:val="hybridMultilevel"/>
    <w:tmpl w:val="0052C65A"/>
    <w:lvl w:ilvl="0" w:tplc="4CD03F82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1F0E22D9"/>
    <w:multiLevelType w:val="hybridMultilevel"/>
    <w:tmpl w:val="44B6759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84F1A06"/>
    <w:multiLevelType w:val="hybridMultilevel"/>
    <w:tmpl w:val="FB28E758"/>
    <w:lvl w:ilvl="0" w:tplc="5FE8DB9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>
    <w:nsid w:val="2CFB4D7F"/>
    <w:multiLevelType w:val="hybridMultilevel"/>
    <w:tmpl w:val="836678FE"/>
    <w:lvl w:ilvl="0" w:tplc="03D43154">
      <w:start w:val="1"/>
      <w:numFmt w:val="decimal"/>
      <w:lvlText w:val="%1."/>
      <w:lvlJc w:val="left"/>
      <w:pPr>
        <w:tabs>
          <w:tab w:val="num" w:pos="1789"/>
        </w:tabs>
        <w:ind w:left="1789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2EDC71AC"/>
    <w:multiLevelType w:val="hybridMultilevel"/>
    <w:tmpl w:val="6364852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0A13C6F"/>
    <w:multiLevelType w:val="hybridMultilevel"/>
    <w:tmpl w:val="9E406C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8C354B"/>
    <w:multiLevelType w:val="hybridMultilevel"/>
    <w:tmpl w:val="628AC58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9495C49"/>
    <w:multiLevelType w:val="hybridMultilevel"/>
    <w:tmpl w:val="13E80D2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AEE09BF"/>
    <w:multiLevelType w:val="hybridMultilevel"/>
    <w:tmpl w:val="93C21A30"/>
    <w:lvl w:ilvl="0" w:tplc="E4AC517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CD85DE0"/>
    <w:multiLevelType w:val="hybridMultilevel"/>
    <w:tmpl w:val="4E34B0E6"/>
    <w:lvl w:ilvl="0" w:tplc="4CD03F82">
      <w:start w:val="1"/>
      <w:numFmt w:val="bullet"/>
      <w:lvlText w:val="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0">
    <w:nsid w:val="3D3F6A27"/>
    <w:multiLevelType w:val="hybridMultilevel"/>
    <w:tmpl w:val="5030B8C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47DC15A3"/>
    <w:multiLevelType w:val="hybridMultilevel"/>
    <w:tmpl w:val="A4E0B0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CD03F8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18A4AF2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</w:rPr>
    </w:lvl>
    <w:lvl w:ilvl="3" w:tplc="208037EC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4DA20B74"/>
    <w:multiLevelType w:val="hybridMultilevel"/>
    <w:tmpl w:val="3E8E34AC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3">
    <w:nsid w:val="4F7D396E"/>
    <w:multiLevelType w:val="hybridMultilevel"/>
    <w:tmpl w:val="31061848"/>
    <w:lvl w:ilvl="0" w:tplc="2AC6371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4C438C1"/>
    <w:multiLevelType w:val="hybridMultilevel"/>
    <w:tmpl w:val="F51CD2B8"/>
    <w:lvl w:ilvl="0" w:tplc="A4944026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5F7B3E7D"/>
    <w:multiLevelType w:val="hybridMultilevel"/>
    <w:tmpl w:val="F30EF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0544CF0"/>
    <w:multiLevelType w:val="hybridMultilevel"/>
    <w:tmpl w:val="38DE0996"/>
    <w:lvl w:ilvl="0" w:tplc="6F3852F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6DD56004"/>
    <w:multiLevelType w:val="hybridMultilevel"/>
    <w:tmpl w:val="DB6084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F73663F"/>
    <w:multiLevelType w:val="hybridMultilevel"/>
    <w:tmpl w:val="8F9008B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FF42EFA"/>
    <w:multiLevelType w:val="hybridMultilevel"/>
    <w:tmpl w:val="6212D8C8"/>
    <w:lvl w:ilvl="0" w:tplc="2FDE9FC2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>
    <w:nsid w:val="77537941"/>
    <w:multiLevelType w:val="hybridMultilevel"/>
    <w:tmpl w:val="DD581916"/>
    <w:lvl w:ilvl="0" w:tplc="3356F78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29"/>
  </w:num>
  <w:num w:numId="2">
    <w:abstractNumId w:val="15"/>
  </w:num>
  <w:num w:numId="3">
    <w:abstractNumId w:val="12"/>
  </w:num>
  <w:num w:numId="4">
    <w:abstractNumId w:val="26"/>
  </w:num>
  <w:num w:numId="5">
    <w:abstractNumId w:val="24"/>
  </w:num>
  <w:num w:numId="6">
    <w:abstractNumId w:val="4"/>
  </w:num>
  <w:num w:numId="7">
    <w:abstractNumId w:val="25"/>
  </w:num>
  <w:num w:numId="8">
    <w:abstractNumId w:val="9"/>
  </w:num>
  <w:num w:numId="9">
    <w:abstractNumId w:val="8"/>
  </w:num>
  <w:num w:numId="10">
    <w:abstractNumId w:val="6"/>
  </w:num>
  <w:num w:numId="11">
    <w:abstractNumId w:val="20"/>
  </w:num>
  <w:num w:numId="12">
    <w:abstractNumId w:val="3"/>
  </w:num>
  <w:num w:numId="13">
    <w:abstractNumId w:val="0"/>
  </w:num>
  <w:num w:numId="14">
    <w:abstractNumId w:val="17"/>
  </w:num>
  <w:num w:numId="15">
    <w:abstractNumId w:val="18"/>
  </w:num>
  <w:num w:numId="16">
    <w:abstractNumId w:val="28"/>
  </w:num>
  <w:num w:numId="17">
    <w:abstractNumId w:val="16"/>
  </w:num>
  <w:num w:numId="18">
    <w:abstractNumId w:val="27"/>
  </w:num>
  <w:num w:numId="19">
    <w:abstractNumId w:val="1"/>
  </w:num>
  <w:num w:numId="20">
    <w:abstractNumId w:val="10"/>
  </w:num>
  <w:num w:numId="21">
    <w:abstractNumId w:val="2"/>
  </w:num>
  <w:num w:numId="22">
    <w:abstractNumId w:val="19"/>
  </w:num>
  <w:num w:numId="23">
    <w:abstractNumId w:val="5"/>
  </w:num>
  <w:num w:numId="24">
    <w:abstractNumId w:val="21"/>
  </w:num>
  <w:num w:numId="25">
    <w:abstractNumId w:val="13"/>
  </w:num>
  <w:num w:numId="26">
    <w:abstractNumId w:val="7"/>
  </w:num>
  <w:num w:numId="27">
    <w:abstractNumId w:val="30"/>
  </w:num>
  <w:num w:numId="28">
    <w:abstractNumId w:val="22"/>
  </w:num>
  <w:num w:numId="29">
    <w:abstractNumId w:val="11"/>
  </w:num>
  <w:num w:numId="30">
    <w:abstractNumId w:val="14"/>
  </w:num>
  <w:num w:numId="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AE"/>
    <w:rsid w:val="0002522E"/>
    <w:rsid w:val="000414DB"/>
    <w:rsid w:val="00051DA7"/>
    <w:rsid w:val="000B0746"/>
    <w:rsid w:val="000D1F31"/>
    <w:rsid w:val="000E22AC"/>
    <w:rsid w:val="000F6E39"/>
    <w:rsid w:val="000F7C22"/>
    <w:rsid w:val="00114A27"/>
    <w:rsid w:val="00174B22"/>
    <w:rsid w:val="001F1E11"/>
    <w:rsid w:val="00247506"/>
    <w:rsid w:val="00256937"/>
    <w:rsid w:val="00287AB5"/>
    <w:rsid w:val="002C216C"/>
    <w:rsid w:val="002E3E49"/>
    <w:rsid w:val="003015AE"/>
    <w:rsid w:val="00364AAD"/>
    <w:rsid w:val="00365302"/>
    <w:rsid w:val="0036713E"/>
    <w:rsid w:val="00373CC3"/>
    <w:rsid w:val="003778CC"/>
    <w:rsid w:val="003824D1"/>
    <w:rsid w:val="0039307B"/>
    <w:rsid w:val="003A57DB"/>
    <w:rsid w:val="003D1CDD"/>
    <w:rsid w:val="003F1BDD"/>
    <w:rsid w:val="00411E1A"/>
    <w:rsid w:val="00425BAE"/>
    <w:rsid w:val="00433B9C"/>
    <w:rsid w:val="004772A7"/>
    <w:rsid w:val="00480E55"/>
    <w:rsid w:val="004F3192"/>
    <w:rsid w:val="00562424"/>
    <w:rsid w:val="005760A0"/>
    <w:rsid w:val="00595995"/>
    <w:rsid w:val="005A3028"/>
    <w:rsid w:val="005A3ACF"/>
    <w:rsid w:val="005B0BB3"/>
    <w:rsid w:val="006017F9"/>
    <w:rsid w:val="00611158"/>
    <w:rsid w:val="00620CC6"/>
    <w:rsid w:val="00632D99"/>
    <w:rsid w:val="00655F9B"/>
    <w:rsid w:val="006A7FAD"/>
    <w:rsid w:val="006B1EBA"/>
    <w:rsid w:val="006C22F1"/>
    <w:rsid w:val="006E752C"/>
    <w:rsid w:val="007072D5"/>
    <w:rsid w:val="00740CA6"/>
    <w:rsid w:val="00744975"/>
    <w:rsid w:val="007B1D66"/>
    <w:rsid w:val="00817A7B"/>
    <w:rsid w:val="00821F88"/>
    <w:rsid w:val="00824FCF"/>
    <w:rsid w:val="008756CA"/>
    <w:rsid w:val="008E546C"/>
    <w:rsid w:val="008E73A7"/>
    <w:rsid w:val="0093788C"/>
    <w:rsid w:val="009879AA"/>
    <w:rsid w:val="00991CD3"/>
    <w:rsid w:val="009B2C4A"/>
    <w:rsid w:val="009B5E76"/>
    <w:rsid w:val="00A01FD7"/>
    <w:rsid w:val="00A2158C"/>
    <w:rsid w:val="00A258D9"/>
    <w:rsid w:val="00A64983"/>
    <w:rsid w:val="00AB6C48"/>
    <w:rsid w:val="00AC3C56"/>
    <w:rsid w:val="00B34E63"/>
    <w:rsid w:val="00C418DF"/>
    <w:rsid w:val="00C441B9"/>
    <w:rsid w:val="00C72933"/>
    <w:rsid w:val="00D03A78"/>
    <w:rsid w:val="00D046A9"/>
    <w:rsid w:val="00D31DAE"/>
    <w:rsid w:val="00D34D2F"/>
    <w:rsid w:val="00D40402"/>
    <w:rsid w:val="00D661EA"/>
    <w:rsid w:val="00D759DF"/>
    <w:rsid w:val="00D947DB"/>
    <w:rsid w:val="00DA0F96"/>
    <w:rsid w:val="00E56D40"/>
    <w:rsid w:val="00EA0243"/>
    <w:rsid w:val="00EA73AE"/>
    <w:rsid w:val="00EC7DA4"/>
    <w:rsid w:val="00EF72CC"/>
    <w:rsid w:val="00F15C90"/>
    <w:rsid w:val="00F27CF8"/>
    <w:rsid w:val="00F60E60"/>
    <w:rsid w:val="00F66EAD"/>
    <w:rsid w:val="00F85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A47AA-14DE-488B-9C30-D1D8DFD98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Standardowy1"/>
    <w:qFormat/>
    <w:rsid w:val="005A3ACF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</w:style>
  <w:style w:type="paragraph" w:styleId="Tytu">
    <w:name w:val="Title"/>
    <w:basedOn w:val="Normalny"/>
    <w:qFormat/>
    <w:pPr>
      <w:jc w:val="center"/>
    </w:pPr>
    <w:rPr>
      <w:b/>
      <w:bCs/>
    </w:rPr>
  </w:style>
  <w:style w:type="paragraph" w:styleId="Tekstpodstawowywcity">
    <w:name w:val="Body Text Indent"/>
    <w:basedOn w:val="Normalny"/>
    <w:rsid w:val="00F15C90"/>
    <w:pPr>
      <w:spacing w:after="120"/>
      <w:ind w:left="283"/>
    </w:pPr>
  </w:style>
  <w:style w:type="paragraph" w:styleId="Akapitzlist">
    <w:name w:val="List Paragraph"/>
    <w:basedOn w:val="Normalny"/>
    <w:qFormat/>
    <w:rsid w:val="00817A7B"/>
    <w:pPr>
      <w:ind w:left="720"/>
      <w:contextualSpacing/>
    </w:pPr>
  </w:style>
  <w:style w:type="paragraph" w:customStyle="1" w:styleId="tyt">
    <w:name w:val="tyt"/>
    <w:basedOn w:val="Normalny"/>
    <w:rsid w:val="005A3ACF"/>
    <w:pPr>
      <w:keepNext/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b/>
      <w:szCs w:val="20"/>
    </w:rPr>
  </w:style>
  <w:style w:type="paragraph" w:customStyle="1" w:styleId="Akapitzlist1">
    <w:name w:val="Akapit z listą1"/>
    <w:basedOn w:val="Normalny"/>
    <w:rsid w:val="005A3AC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podstawowywcity3">
    <w:name w:val="Body Text Indent 3"/>
    <w:basedOn w:val="Normalny"/>
    <w:link w:val="Tekstpodstawowywcity3Znak"/>
    <w:semiHidden/>
    <w:unhideWhenUsed/>
    <w:rsid w:val="005A3AC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rsid w:val="005A3ACF"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7293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7293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0E22A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E22A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E22A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E22A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52DE7F-682D-4FC0-A433-66369EA40A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2354</Words>
  <Characters>15166</Characters>
  <Application>Microsoft Office Word</Application>
  <DocSecurity>0</DocSecurity>
  <Lines>126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SUM</vt:lpstr>
    </vt:vector>
  </TitlesOfParts>
  <Company>.</Company>
  <LinksUpToDate>false</LinksUpToDate>
  <CharactersWithSpaces>17486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SUM</dc:title>
  <dc:subject/>
  <dc:creator>.</dc:creator>
  <cp:keywords/>
  <cp:lastModifiedBy>Beata Łysakowska</cp:lastModifiedBy>
  <cp:revision>4</cp:revision>
  <cp:lastPrinted>2014-06-02T06:06:00Z</cp:lastPrinted>
  <dcterms:created xsi:type="dcterms:W3CDTF">2014-05-30T07:39:00Z</dcterms:created>
  <dcterms:modified xsi:type="dcterms:W3CDTF">2014-06-02T06:08:00Z</dcterms:modified>
</cp:coreProperties>
</file>